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2FC22" w14:textId="15571492" w:rsidR="008A5ADC" w:rsidRPr="00D81A87" w:rsidRDefault="00044BB5" w:rsidP="00902825">
      <w:pPr>
        <w:jc w:val="both"/>
        <w:rPr>
          <w:rFonts w:ascii="Times New Roman" w:hAnsi="Times New Roman" w:cs="Times New Roman"/>
          <w:u w:val="single"/>
        </w:rPr>
      </w:pPr>
      <w:r w:rsidRPr="00D81A87">
        <w:rPr>
          <w:rFonts w:ascii="Times New Roman" w:hAnsi="Times New Roman" w:cs="Times New Roman"/>
          <w:u w:val="single"/>
        </w:rPr>
        <w:t xml:space="preserve">Informacja prasowa </w:t>
      </w:r>
    </w:p>
    <w:p w14:paraId="3B02F3E6" w14:textId="77777777" w:rsidR="008E6ED1" w:rsidRPr="00D81A87" w:rsidRDefault="008E6ED1" w:rsidP="00902825">
      <w:pPr>
        <w:jc w:val="both"/>
        <w:rPr>
          <w:rFonts w:ascii="Times New Roman" w:hAnsi="Times New Roman" w:cs="Times New Roman"/>
          <w:b/>
          <w:bCs/>
        </w:rPr>
      </w:pPr>
      <w:r w:rsidRPr="00D81A87">
        <w:rPr>
          <w:rFonts w:ascii="Times New Roman" w:hAnsi="Times New Roman" w:cs="Times New Roman"/>
          <w:b/>
          <w:bCs/>
        </w:rPr>
        <w:t xml:space="preserve">APS Energia z rekordowym </w:t>
      </w:r>
      <w:proofErr w:type="spellStart"/>
      <w:r w:rsidRPr="00D81A87">
        <w:rPr>
          <w:rFonts w:ascii="Times New Roman" w:hAnsi="Times New Roman" w:cs="Times New Roman"/>
          <w:b/>
          <w:bCs/>
        </w:rPr>
        <w:t>backlogiem</w:t>
      </w:r>
      <w:proofErr w:type="spellEnd"/>
      <w:r w:rsidRPr="00D81A87">
        <w:rPr>
          <w:rFonts w:ascii="Times New Roman" w:hAnsi="Times New Roman" w:cs="Times New Roman"/>
          <w:b/>
          <w:bCs/>
        </w:rPr>
        <w:t xml:space="preserve"> i dynamiczną poprawą marży EBITDA</w:t>
      </w:r>
    </w:p>
    <w:p w14:paraId="7B53952B" w14:textId="0B621099" w:rsidR="008E6ED1" w:rsidRPr="00D81A87" w:rsidRDefault="008E6ED1" w:rsidP="00902825">
      <w:pPr>
        <w:jc w:val="both"/>
        <w:rPr>
          <w:rFonts w:ascii="Times New Roman" w:hAnsi="Times New Roman" w:cs="Times New Roman"/>
        </w:rPr>
      </w:pPr>
      <w:r w:rsidRPr="00D81A87">
        <w:rPr>
          <w:rFonts w:ascii="Times New Roman" w:hAnsi="Times New Roman" w:cs="Times New Roman"/>
          <w:b/>
          <w:bCs/>
        </w:rPr>
        <w:t xml:space="preserve">APS Energia, czołowy polski projektant i producent gwarantowanych systemów zasilania, kontynuuje poprawę wyników i rentowności. W pierwszym półroczu 2026 roku marża EBITDA Grupy wzrosła o blisko 4 </w:t>
      </w:r>
      <w:proofErr w:type="spellStart"/>
      <w:r w:rsidRPr="00D81A87">
        <w:rPr>
          <w:rFonts w:ascii="Times New Roman" w:hAnsi="Times New Roman" w:cs="Times New Roman"/>
          <w:b/>
          <w:bCs/>
        </w:rPr>
        <w:t>p.p</w:t>
      </w:r>
      <w:proofErr w:type="spellEnd"/>
      <w:r w:rsidRPr="00D81A87">
        <w:rPr>
          <w:rFonts w:ascii="Times New Roman" w:hAnsi="Times New Roman" w:cs="Times New Roman"/>
          <w:b/>
          <w:bCs/>
        </w:rPr>
        <w:t xml:space="preserve">., do 10,4 proc., a wynik EBIT zwiększył się o 155 proc. r/r. Jednocześnie Grupa zbudowała rekordowy </w:t>
      </w:r>
      <w:proofErr w:type="spellStart"/>
      <w:r w:rsidRPr="00D81A87">
        <w:rPr>
          <w:rFonts w:ascii="Times New Roman" w:hAnsi="Times New Roman" w:cs="Times New Roman"/>
          <w:b/>
          <w:bCs/>
        </w:rPr>
        <w:t>backlog</w:t>
      </w:r>
      <w:proofErr w:type="spellEnd"/>
      <w:r w:rsidRPr="00D81A87">
        <w:rPr>
          <w:rFonts w:ascii="Times New Roman" w:hAnsi="Times New Roman" w:cs="Times New Roman"/>
          <w:b/>
          <w:bCs/>
        </w:rPr>
        <w:t xml:space="preserve"> o wartości przekraczającej 114 mln zł, który stanowi solidną bazę do </w:t>
      </w:r>
      <w:r w:rsidR="00044BB5" w:rsidRPr="00D81A87">
        <w:rPr>
          <w:rFonts w:ascii="Times New Roman" w:hAnsi="Times New Roman" w:cs="Times New Roman"/>
          <w:b/>
          <w:bCs/>
        </w:rPr>
        <w:t xml:space="preserve">rozwoju </w:t>
      </w:r>
      <w:r w:rsidRPr="00D81A87">
        <w:rPr>
          <w:rFonts w:ascii="Times New Roman" w:hAnsi="Times New Roman" w:cs="Times New Roman"/>
          <w:b/>
          <w:bCs/>
        </w:rPr>
        <w:t>w kolejnych okresach.</w:t>
      </w:r>
    </w:p>
    <w:p w14:paraId="508E91EC" w14:textId="24D7D973" w:rsidR="008E6ED1" w:rsidRPr="00D81A87" w:rsidRDefault="008E6ED1" w:rsidP="00902825">
      <w:pPr>
        <w:jc w:val="both"/>
        <w:rPr>
          <w:rFonts w:ascii="Times New Roman" w:hAnsi="Times New Roman" w:cs="Times New Roman"/>
        </w:rPr>
      </w:pPr>
      <w:r w:rsidRPr="00D81A87">
        <w:rPr>
          <w:rFonts w:ascii="Times New Roman" w:hAnsi="Times New Roman" w:cs="Times New Roman"/>
        </w:rPr>
        <w:t xml:space="preserve">Grupa APS Energia wypracowała w pierwszej połowie 2026 roku 39,21 mln zł przychodów wobec 39,15 mln zł w analogicznym okresie ubiegłego roku. Pomimo stabilizacji sprzedaży wyraźnie poprawiły się wyniki finansowe. </w:t>
      </w:r>
      <w:r w:rsidR="000751DE">
        <w:rPr>
          <w:rFonts w:ascii="Times New Roman" w:hAnsi="Times New Roman" w:cs="Times New Roman"/>
        </w:rPr>
        <w:t xml:space="preserve">Skonsolidowana </w:t>
      </w:r>
      <w:r w:rsidRPr="00D81A87">
        <w:rPr>
          <w:rFonts w:ascii="Times New Roman" w:hAnsi="Times New Roman" w:cs="Times New Roman"/>
        </w:rPr>
        <w:t>EBIT przekroczył 3 mln zł, co oznacza wzrost o 155 proc. r/r. Zysk netto sięgnął 6,95 mln zł wobec 0,14 mln zł straty rok wcześniej.</w:t>
      </w:r>
    </w:p>
    <w:p w14:paraId="0880FBF4" w14:textId="77777777" w:rsidR="008E6ED1" w:rsidRPr="00D81A87" w:rsidRDefault="008E6ED1" w:rsidP="00902825">
      <w:pPr>
        <w:jc w:val="both"/>
        <w:rPr>
          <w:rFonts w:ascii="Times New Roman" w:hAnsi="Times New Roman" w:cs="Times New Roman"/>
        </w:rPr>
      </w:pPr>
      <w:r w:rsidRPr="00D81A87">
        <w:rPr>
          <w:rFonts w:ascii="Times New Roman" w:hAnsi="Times New Roman" w:cs="Times New Roman"/>
        </w:rPr>
        <w:t xml:space="preserve">Znacząco wzrosła również rentowność działalności. Marża EBITDA wyniosła 10,4 proc. wobec 6,5 proc. w pierwszym półroczu 2025 roku, co oznacza poprawę o blisko 4 </w:t>
      </w:r>
      <w:proofErr w:type="spellStart"/>
      <w:r w:rsidRPr="00D81A87">
        <w:rPr>
          <w:rFonts w:ascii="Times New Roman" w:hAnsi="Times New Roman" w:cs="Times New Roman"/>
        </w:rPr>
        <w:t>p.p</w:t>
      </w:r>
      <w:proofErr w:type="spellEnd"/>
      <w:r w:rsidRPr="00D81A87">
        <w:rPr>
          <w:rFonts w:ascii="Times New Roman" w:hAnsi="Times New Roman" w:cs="Times New Roman"/>
        </w:rPr>
        <w:t>.</w:t>
      </w:r>
    </w:p>
    <w:p w14:paraId="7C8A1A69" w14:textId="77777777" w:rsidR="00044BB5" w:rsidRPr="00D81A87" w:rsidRDefault="008E6ED1" w:rsidP="00902825">
      <w:pPr>
        <w:jc w:val="both"/>
        <w:rPr>
          <w:rFonts w:ascii="Times New Roman" w:hAnsi="Times New Roman" w:cs="Times New Roman"/>
          <w:i/>
          <w:iCs/>
        </w:rPr>
      </w:pPr>
      <w:r w:rsidRPr="00D81A87">
        <w:rPr>
          <w:rFonts w:ascii="Times New Roman" w:hAnsi="Times New Roman" w:cs="Times New Roman"/>
          <w:i/>
          <w:iCs/>
        </w:rPr>
        <w:t>– Za nami udane pierwsze półrocze, w którym kontynuowaliśmy poprawę wyników. Szczególnie cieszy dynamiczny wzrost wyniku operacyjnego. Konsekwentnie realizujemy naszą strategię i widzimy wymierne efekty tych działań. W minionym półroczu pozyskaliśmy finansowanie bankowe, które zapewnia nam stabilne warunki do realizacji planów rozwojowych. Dzięki wynegocjowanym warunkom kredytowym liczymy także na istotne obniżenie kosztów obsługi zadłużenia.</w:t>
      </w:r>
    </w:p>
    <w:p w14:paraId="7A46992D" w14:textId="4DB0D5BC" w:rsidR="008E6ED1" w:rsidRPr="00D81A87" w:rsidRDefault="008E6ED1" w:rsidP="00902825">
      <w:pPr>
        <w:jc w:val="both"/>
        <w:rPr>
          <w:rFonts w:ascii="Times New Roman" w:hAnsi="Times New Roman" w:cs="Times New Roman"/>
        </w:rPr>
      </w:pPr>
      <w:r w:rsidRPr="00D81A87">
        <w:rPr>
          <w:rFonts w:ascii="Times New Roman" w:hAnsi="Times New Roman" w:cs="Times New Roman"/>
          <w:i/>
          <w:iCs/>
        </w:rPr>
        <w:t xml:space="preserve">W drugą połowę roku weszliśmy z rekordowym poziomem </w:t>
      </w:r>
      <w:proofErr w:type="spellStart"/>
      <w:r w:rsidRPr="00D81A87">
        <w:rPr>
          <w:rFonts w:ascii="Times New Roman" w:hAnsi="Times New Roman" w:cs="Times New Roman"/>
          <w:i/>
          <w:iCs/>
        </w:rPr>
        <w:t>backlogu</w:t>
      </w:r>
      <w:proofErr w:type="spellEnd"/>
      <w:r w:rsidRPr="00D81A87">
        <w:rPr>
          <w:rFonts w:ascii="Times New Roman" w:hAnsi="Times New Roman" w:cs="Times New Roman"/>
          <w:i/>
          <w:iCs/>
        </w:rPr>
        <w:t xml:space="preserve">, który daje nam solidne podstawy do optymistycznego spojrzenia na kolejne miesiące. Szczególnie mocny jest portfel zamówień w segmentach Trakcji i Transportu, obejmujący projekty zarówno na bieżący rok, jak i kolejne lata. Warto również pamiętać o sezonowości naszej działalności – druga połowa roku jest dla Grupy zazwyczaj okresem wyższej aktywności i lepszych wyników. Spodziewamy się, że podobnie </w:t>
      </w:r>
      <w:r w:rsidR="00044BB5" w:rsidRPr="00D81A87">
        <w:rPr>
          <w:rFonts w:ascii="Times New Roman" w:hAnsi="Times New Roman" w:cs="Times New Roman"/>
          <w:i/>
          <w:iCs/>
        </w:rPr>
        <w:t>może być</w:t>
      </w:r>
      <w:r w:rsidRPr="00D81A87">
        <w:rPr>
          <w:rFonts w:ascii="Times New Roman" w:hAnsi="Times New Roman" w:cs="Times New Roman"/>
          <w:i/>
          <w:iCs/>
        </w:rPr>
        <w:t xml:space="preserve"> również w tym roku</w:t>
      </w:r>
      <w:r w:rsidRPr="00D81A87">
        <w:rPr>
          <w:rFonts w:ascii="Times New Roman" w:hAnsi="Times New Roman" w:cs="Times New Roman"/>
        </w:rPr>
        <w:t xml:space="preserve"> – mówi </w:t>
      </w:r>
      <w:r w:rsidRPr="00D81A87">
        <w:rPr>
          <w:rFonts w:ascii="Times New Roman" w:hAnsi="Times New Roman" w:cs="Times New Roman"/>
          <w:b/>
          <w:bCs/>
        </w:rPr>
        <w:t>Piotr Szewczyk, Prezes Zarządu APS Energia</w:t>
      </w:r>
      <w:r w:rsidRPr="00D81A87">
        <w:rPr>
          <w:rFonts w:ascii="Times New Roman" w:hAnsi="Times New Roman" w:cs="Times New Roman"/>
        </w:rPr>
        <w:t>.</w:t>
      </w:r>
    </w:p>
    <w:p w14:paraId="016F49BD" w14:textId="77777777" w:rsidR="008E6ED1" w:rsidRPr="00D81A87" w:rsidRDefault="008E6ED1" w:rsidP="00902825">
      <w:pPr>
        <w:jc w:val="both"/>
        <w:rPr>
          <w:rFonts w:ascii="Times New Roman" w:hAnsi="Times New Roman" w:cs="Times New Roman"/>
        </w:rPr>
      </w:pPr>
      <w:r w:rsidRPr="00D81A87">
        <w:rPr>
          <w:rFonts w:ascii="Times New Roman" w:hAnsi="Times New Roman" w:cs="Times New Roman"/>
        </w:rPr>
        <w:t xml:space="preserve">Na koniec pierwszego półrocza </w:t>
      </w:r>
      <w:proofErr w:type="spellStart"/>
      <w:r w:rsidRPr="00D81A87">
        <w:rPr>
          <w:rFonts w:ascii="Times New Roman" w:hAnsi="Times New Roman" w:cs="Times New Roman"/>
        </w:rPr>
        <w:t>backlog</w:t>
      </w:r>
      <w:proofErr w:type="spellEnd"/>
      <w:r w:rsidRPr="00D81A87">
        <w:rPr>
          <w:rFonts w:ascii="Times New Roman" w:hAnsi="Times New Roman" w:cs="Times New Roman"/>
        </w:rPr>
        <w:t xml:space="preserve"> Grupy przekraczał 114 mln zł i był najwyższy w jej historii. W odpowiedzi na rosnący portfel zamówień APS Energia planuje zwiększenie mocy produkcyjnych, w tym rozbudowę fabryki w Stanisławowie Pierwszym na potrzeby segmentu Trakcji i Transportu oraz rozwój zaplecza produkcyjnego w Wilczkowicach Górnych na potrzeby działalności w sektorze obronnym.</w:t>
      </w:r>
    </w:p>
    <w:p w14:paraId="256C8AD7" w14:textId="6F8E59C0" w:rsidR="008E6ED1" w:rsidRPr="00D81A87" w:rsidRDefault="008E6ED1" w:rsidP="00902825">
      <w:pPr>
        <w:jc w:val="both"/>
        <w:rPr>
          <w:rFonts w:ascii="Times New Roman" w:hAnsi="Times New Roman" w:cs="Times New Roman"/>
        </w:rPr>
      </w:pPr>
      <w:r w:rsidRPr="00D81A87">
        <w:rPr>
          <w:rFonts w:ascii="Times New Roman" w:hAnsi="Times New Roman" w:cs="Times New Roman"/>
          <w:i/>
          <w:iCs/>
        </w:rPr>
        <w:t xml:space="preserve">– Aktywnie poszukujemy kolejnych zleceń w kluczowych dla APS </w:t>
      </w:r>
      <w:r w:rsidR="00F1491B">
        <w:rPr>
          <w:rFonts w:ascii="Times New Roman" w:hAnsi="Times New Roman" w:cs="Times New Roman"/>
          <w:i/>
          <w:iCs/>
        </w:rPr>
        <w:t>Energia</w:t>
      </w:r>
      <w:r w:rsidR="002920D0">
        <w:rPr>
          <w:rFonts w:ascii="Times New Roman" w:hAnsi="Times New Roman" w:cs="Times New Roman"/>
          <w:i/>
          <w:iCs/>
        </w:rPr>
        <w:t xml:space="preserve"> </w:t>
      </w:r>
      <w:r w:rsidRPr="00D81A87">
        <w:rPr>
          <w:rFonts w:ascii="Times New Roman" w:hAnsi="Times New Roman" w:cs="Times New Roman"/>
          <w:i/>
          <w:iCs/>
        </w:rPr>
        <w:t>segmentach. Jednocześnie rozwijamy działalność w nowych obszarach, takich jak lotnictwo cywilne czy centra danych, gdzie możemy wykorzystać nasze kompetencje w zakresie systemów zasilania. W najbliższych miesiącach spodziewamy się również pozyskania dużych zamówień w sektorze energetycznym z Azji Centralnej oraz projektów związanych z OZE w Polsce i innych krajach Europy</w:t>
      </w:r>
      <w:r w:rsidRPr="00D81A87">
        <w:rPr>
          <w:rFonts w:ascii="Times New Roman" w:hAnsi="Times New Roman" w:cs="Times New Roman"/>
        </w:rPr>
        <w:t xml:space="preserve"> – mówi </w:t>
      </w:r>
      <w:r w:rsidRPr="00D81A87">
        <w:rPr>
          <w:rFonts w:ascii="Times New Roman" w:hAnsi="Times New Roman" w:cs="Times New Roman"/>
          <w:b/>
          <w:bCs/>
        </w:rPr>
        <w:t>Piotr Szewczyk.</w:t>
      </w:r>
    </w:p>
    <w:p w14:paraId="246046A9" w14:textId="2A877D55" w:rsidR="008E6ED1" w:rsidRPr="00D81A87" w:rsidRDefault="008E6ED1" w:rsidP="00902825">
      <w:pPr>
        <w:jc w:val="both"/>
        <w:rPr>
          <w:rFonts w:ascii="Times New Roman" w:hAnsi="Times New Roman" w:cs="Times New Roman"/>
        </w:rPr>
      </w:pPr>
      <w:r w:rsidRPr="00D81A87">
        <w:rPr>
          <w:rFonts w:ascii="Times New Roman" w:hAnsi="Times New Roman" w:cs="Times New Roman"/>
        </w:rPr>
        <w:t xml:space="preserve">Jednym z najważniejszych wydarzeń pierwszego półrocza było nawiązanie strategicznej współpracy z </w:t>
      </w:r>
      <w:proofErr w:type="spellStart"/>
      <w:r w:rsidRPr="00D81A87">
        <w:rPr>
          <w:rFonts w:ascii="Times New Roman" w:hAnsi="Times New Roman" w:cs="Times New Roman"/>
        </w:rPr>
        <w:t>Almalyk</w:t>
      </w:r>
      <w:proofErr w:type="spellEnd"/>
      <w:r w:rsidRPr="00D81A87">
        <w:rPr>
          <w:rFonts w:ascii="Times New Roman" w:hAnsi="Times New Roman" w:cs="Times New Roman"/>
        </w:rPr>
        <w:t xml:space="preserve"> </w:t>
      </w:r>
      <w:proofErr w:type="spellStart"/>
      <w:r w:rsidRPr="00D81A87">
        <w:rPr>
          <w:rFonts w:ascii="Times New Roman" w:hAnsi="Times New Roman" w:cs="Times New Roman"/>
        </w:rPr>
        <w:t>Mining</w:t>
      </w:r>
      <w:proofErr w:type="spellEnd"/>
      <w:r w:rsidRPr="00D81A87">
        <w:rPr>
          <w:rFonts w:ascii="Times New Roman" w:hAnsi="Times New Roman" w:cs="Times New Roman"/>
        </w:rPr>
        <w:t xml:space="preserve"> and </w:t>
      </w:r>
      <w:proofErr w:type="spellStart"/>
      <w:r w:rsidRPr="00D81A87">
        <w:rPr>
          <w:rFonts w:ascii="Times New Roman" w:hAnsi="Times New Roman" w:cs="Times New Roman"/>
        </w:rPr>
        <w:t>Metallurgical</w:t>
      </w:r>
      <w:proofErr w:type="spellEnd"/>
      <w:r w:rsidRPr="00D81A87">
        <w:rPr>
          <w:rFonts w:ascii="Times New Roman" w:hAnsi="Times New Roman" w:cs="Times New Roman"/>
        </w:rPr>
        <w:t xml:space="preserve"> </w:t>
      </w:r>
      <w:proofErr w:type="spellStart"/>
      <w:r w:rsidRPr="00D81A87">
        <w:rPr>
          <w:rFonts w:ascii="Times New Roman" w:hAnsi="Times New Roman" w:cs="Times New Roman"/>
        </w:rPr>
        <w:t>Complex</w:t>
      </w:r>
      <w:proofErr w:type="spellEnd"/>
      <w:r w:rsidRPr="00D81A87">
        <w:rPr>
          <w:rFonts w:ascii="Times New Roman" w:hAnsi="Times New Roman" w:cs="Times New Roman"/>
        </w:rPr>
        <w:t xml:space="preserve"> JSC, państwowym przedsiębiorstwem górniczo-metalurgicznym z Uzbekistanu i jednym z największych podmiotów tego typu w Azji Centralnej.</w:t>
      </w:r>
      <w:r w:rsidR="000660F3" w:rsidRPr="00D81A87">
        <w:rPr>
          <w:rFonts w:ascii="Times New Roman" w:hAnsi="Times New Roman" w:cs="Times New Roman"/>
        </w:rPr>
        <w:t xml:space="preserve"> </w:t>
      </w:r>
      <w:r w:rsidRPr="00D81A87">
        <w:rPr>
          <w:rFonts w:ascii="Times New Roman" w:hAnsi="Times New Roman" w:cs="Times New Roman"/>
        </w:rPr>
        <w:t>W ramach wspólnego przedsięwzięcia powstanie spółka joint venture w Uzbekistanie, dysponująca własnym zapleczem produkcyjnym i biurowym. Jej działalność ma obejmować wdrażanie i komercjalizację urządzeń gwarantowanych systemów zasilania oraz rozwiązań energetycznych przeznaczonych dla różnych gałęzi przemysłu. APS Energia zakłada, że w kolejnych latach projekt</w:t>
      </w:r>
      <w:r w:rsidR="00044BB5" w:rsidRPr="00D81A87">
        <w:rPr>
          <w:rFonts w:ascii="Times New Roman" w:hAnsi="Times New Roman" w:cs="Times New Roman"/>
        </w:rPr>
        <w:t xml:space="preserve"> ten</w:t>
      </w:r>
      <w:r w:rsidRPr="00D81A87">
        <w:rPr>
          <w:rFonts w:ascii="Times New Roman" w:hAnsi="Times New Roman" w:cs="Times New Roman"/>
        </w:rPr>
        <w:t xml:space="preserve"> może generować kilkadziesiąt milionów złotych przychodów rocznie.</w:t>
      </w:r>
    </w:p>
    <w:p w14:paraId="57AA3A7B" w14:textId="032B153B" w:rsidR="008E6ED1" w:rsidRPr="00D81A87" w:rsidRDefault="008E6ED1" w:rsidP="00902825">
      <w:pPr>
        <w:jc w:val="both"/>
        <w:rPr>
          <w:rFonts w:ascii="Times New Roman" w:hAnsi="Times New Roman" w:cs="Times New Roman"/>
        </w:rPr>
      </w:pPr>
      <w:r w:rsidRPr="00D81A87">
        <w:rPr>
          <w:rFonts w:ascii="Times New Roman" w:hAnsi="Times New Roman" w:cs="Times New Roman"/>
        </w:rPr>
        <w:t>Równolegle APS Energia rozpoczęła współpracę z ukraińską firmą ZGRAIA (</w:t>
      </w:r>
      <w:proofErr w:type="spellStart"/>
      <w:r w:rsidRPr="00D81A87">
        <w:rPr>
          <w:rFonts w:ascii="Times New Roman" w:hAnsi="Times New Roman" w:cs="Times New Roman"/>
        </w:rPr>
        <w:t>Swarm</w:t>
      </w:r>
      <w:proofErr w:type="spellEnd"/>
      <w:r w:rsidRPr="00D81A87">
        <w:rPr>
          <w:rFonts w:ascii="Times New Roman" w:hAnsi="Times New Roman" w:cs="Times New Roman"/>
        </w:rPr>
        <w:t xml:space="preserve"> </w:t>
      </w:r>
      <w:proofErr w:type="spellStart"/>
      <w:r w:rsidRPr="00D81A87">
        <w:rPr>
          <w:rFonts w:ascii="Times New Roman" w:hAnsi="Times New Roman" w:cs="Times New Roman"/>
        </w:rPr>
        <w:t>Industries</w:t>
      </w:r>
      <w:proofErr w:type="spellEnd"/>
      <w:r w:rsidRPr="00D81A87">
        <w:rPr>
          <w:rFonts w:ascii="Times New Roman" w:hAnsi="Times New Roman" w:cs="Times New Roman"/>
        </w:rPr>
        <w:t xml:space="preserve">) przy projekcie dotyczącym produkcji systemów </w:t>
      </w:r>
      <w:proofErr w:type="spellStart"/>
      <w:r w:rsidRPr="00D81A87">
        <w:rPr>
          <w:rFonts w:ascii="Times New Roman" w:hAnsi="Times New Roman" w:cs="Times New Roman"/>
        </w:rPr>
        <w:t>dronowych</w:t>
      </w:r>
      <w:proofErr w:type="spellEnd"/>
      <w:r w:rsidRPr="00D81A87">
        <w:rPr>
          <w:rFonts w:ascii="Times New Roman" w:hAnsi="Times New Roman" w:cs="Times New Roman"/>
        </w:rPr>
        <w:t xml:space="preserve"> dla sektora obronnego, nabywając ponad 20 proc. jej udziałów.</w:t>
      </w:r>
      <w:r w:rsidR="000660F3" w:rsidRPr="00D81A87">
        <w:rPr>
          <w:rFonts w:ascii="Times New Roman" w:hAnsi="Times New Roman" w:cs="Times New Roman"/>
        </w:rPr>
        <w:t xml:space="preserve"> </w:t>
      </w:r>
      <w:r w:rsidRPr="00D81A87">
        <w:rPr>
          <w:rFonts w:ascii="Times New Roman" w:hAnsi="Times New Roman" w:cs="Times New Roman"/>
        </w:rPr>
        <w:t xml:space="preserve">W ramach docelowej struktury organizacyjnej Grupy ma zostać powołana spółka zależna w Polsce, w której mniejszościowy pakiet udziałów będzie posiadał ukraiński partner. Jej działalność ma obejmować produkcję systemów </w:t>
      </w:r>
      <w:proofErr w:type="spellStart"/>
      <w:r w:rsidRPr="00D81A87">
        <w:rPr>
          <w:rFonts w:ascii="Times New Roman" w:hAnsi="Times New Roman" w:cs="Times New Roman"/>
        </w:rPr>
        <w:t>dronowych</w:t>
      </w:r>
      <w:proofErr w:type="spellEnd"/>
      <w:r w:rsidRPr="00D81A87">
        <w:rPr>
          <w:rFonts w:ascii="Times New Roman" w:hAnsi="Times New Roman" w:cs="Times New Roman"/>
        </w:rPr>
        <w:t xml:space="preserve"> z wykorzystaniem zaplecza APS Energia w Wilczkowicach Górnych.</w:t>
      </w:r>
      <w:r w:rsidR="000660F3" w:rsidRPr="00D81A87">
        <w:rPr>
          <w:rFonts w:ascii="Times New Roman" w:hAnsi="Times New Roman" w:cs="Times New Roman"/>
        </w:rPr>
        <w:t xml:space="preserve"> </w:t>
      </w:r>
      <w:r w:rsidRPr="00D81A87">
        <w:rPr>
          <w:rFonts w:ascii="Times New Roman" w:hAnsi="Times New Roman" w:cs="Times New Roman"/>
        </w:rPr>
        <w:t>W dalszej perspektywie polska spółka planuje rozwój znacznie szerszej oferty produktowej skierowanej m.in. do sektora infrastruktury krytycznej, bezpieczeństwa narodowego oraz rynku rozwiązań zabezpieczających w państwach NATO.</w:t>
      </w:r>
    </w:p>
    <w:p w14:paraId="38926F48" w14:textId="77777777" w:rsidR="008E6ED1" w:rsidRPr="00D81A87" w:rsidRDefault="008E6ED1" w:rsidP="00902825">
      <w:pPr>
        <w:jc w:val="both"/>
        <w:rPr>
          <w:rFonts w:ascii="Times New Roman" w:hAnsi="Times New Roman" w:cs="Times New Roman"/>
        </w:rPr>
      </w:pPr>
      <w:r w:rsidRPr="00D81A87">
        <w:rPr>
          <w:rFonts w:ascii="Times New Roman" w:hAnsi="Times New Roman" w:cs="Times New Roman"/>
        </w:rPr>
        <w:t>Istotnym wydarzeniem pierwszego półrocza była również sprzedaż 100 proc. akcji spółki zależnej ENAP S.A. Transakcja wpisuje się w proces upraszczania struktury Grupy oraz koncentracji zasobów na podstawowej działalności APS Energia.</w:t>
      </w:r>
    </w:p>
    <w:sectPr w:rsidR="008E6ED1" w:rsidRPr="00D81A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07"/>
    <w:rsid w:val="00023F34"/>
    <w:rsid w:val="00044BB5"/>
    <w:rsid w:val="000660F3"/>
    <w:rsid w:val="000751DE"/>
    <w:rsid w:val="000A2EB5"/>
    <w:rsid w:val="000C3A50"/>
    <w:rsid w:val="000D5CF6"/>
    <w:rsid w:val="000E5147"/>
    <w:rsid w:val="00170B88"/>
    <w:rsid w:val="001977E1"/>
    <w:rsid w:val="002920D0"/>
    <w:rsid w:val="002D264A"/>
    <w:rsid w:val="003801FD"/>
    <w:rsid w:val="00426776"/>
    <w:rsid w:val="00431E0D"/>
    <w:rsid w:val="00485C68"/>
    <w:rsid w:val="00692AFF"/>
    <w:rsid w:val="007269F2"/>
    <w:rsid w:val="00755325"/>
    <w:rsid w:val="007D0F80"/>
    <w:rsid w:val="00834DFF"/>
    <w:rsid w:val="008A5ADC"/>
    <w:rsid w:val="008E6ED1"/>
    <w:rsid w:val="00902825"/>
    <w:rsid w:val="0093132A"/>
    <w:rsid w:val="009F78F0"/>
    <w:rsid w:val="00AA3C07"/>
    <w:rsid w:val="00AC5E3C"/>
    <w:rsid w:val="00BA05D5"/>
    <w:rsid w:val="00C43ADC"/>
    <w:rsid w:val="00C71F1D"/>
    <w:rsid w:val="00CB4CA2"/>
    <w:rsid w:val="00CE7CFE"/>
    <w:rsid w:val="00D40476"/>
    <w:rsid w:val="00D73186"/>
    <w:rsid w:val="00D81A87"/>
    <w:rsid w:val="00DD7F21"/>
    <w:rsid w:val="00DF6AEF"/>
    <w:rsid w:val="00F1491B"/>
    <w:rsid w:val="00F6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514C3"/>
  <w15:chartTrackingRefBased/>
  <w15:docId w15:val="{6052FE9A-528E-4033-B873-35AA6D49A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A3C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3C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3C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3C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3C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3C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3C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3C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3C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3C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AA3C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3C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3C0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3C0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3C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3C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3C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3C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3C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3C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3C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3C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3C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3C0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3C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3C0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3C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3C0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3C07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DF6AEF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647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Zbiejcik</dc:creator>
  <cp:keywords/>
  <dc:description/>
  <cp:lastModifiedBy>Maciej Zbiejcik</cp:lastModifiedBy>
  <cp:revision>21</cp:revision>
  <dcterms:created xsi:type="dcterms:W3CDTF">2026-09-16T10:10:00Z</dcterms:created>
  <dcterms:modified xsi:type="dcterms:W3CDTF">2026-09-17T06:14:00Z</dcterms:modified>
</cp:coreProperties>
</file>