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AF2B8" w14:textId="77777777" w:rsidR="00045DEA" w:rsidRPr="008233EE" w:rsidRDefault="00045DEA" w:rsidP="00045DEA">
      <w:pPr>
        <w:rPr>
          <w:u w:val="single"/>
        </w:rPr>
      </w:pPr>
      <w:r w:rsidRPr="008233EE">
        <w:rPr>
          <w:u w:val="single"/>
        </w:rPr>
        <w:t>Informacja prasowa</w:t>
      </w:r>
    </w:p>
    <w:p w14:paraId="209E593C" w14:textId="77777777" w:rsidR="00045DEA" w:rsidRPr="000815A2" w:rsidRDefault="00045DEA" w:rsidP="00045DEA">
      <w:pPr>
        <w:jc w:val="center"/>
        <w:rPr>
          <w:b/>
          <w:bCs/>
        </w:rPr>
      </w:pPr>
      <w:r w:rsidRPr="000815A2">
        <w:rPr>
          <w:b/>
          <w:bCs/>
        </w:rPr>
        <w:t>PHR i Zremb Chojnice zrealizują duże zamówienie dla wojsk NATO</w:t>
      </w:r>
    </w:p>
    <w:p w14:paraId="75D204D9" w14:textId="77777777" w:rsidR="00045DEA" w:rsidRPr="000815A2" w:rsidRDefault="00045DEA" w:rsidP="00045DEA">
      <w:pPr>
        <w:rPr>
          <w:b/>
          <w:bCs/>
        </w:rPr>
      </w:pPr>
    </w:p>
    <w:p w14:paraId="1510DF90" w14:textId="6C3A0F97" w:rsidR="00045DEA" w:rsidRPr="000815A2" w:rsidRDefault="00045DEA" w:rsidP="00045DEA">
      <w:pPr>
        <w:rPr>
          <w:b/>
          <w:bCs/>
        </w:rPr>
      </w:pPr>
      <w:r w:rsidRPr="000815A2">
        <w:rPr>
          <w:b/>
          <w:bCs/>
        </w:rPr>
        <w:t>Konsorcjum z udziałem Polskiego Holdingu Rozwoju (PHR) i Zrembu Chojnice wykona elementy platform transportowych dla wojsk NATO. Maksymalna wartość zamówienia sięga około 59 mln zł brutto. PHR liczy na kolejne kontrakty w sektorze zbrojeniowy</w:t>
      </w:r>
      <w:r w:rsidR="00020AE2">
        <w:rPr>
          <w:b/>
          <w:bCs/>
        </w:rPr>
        <w:t>m</w:t>
      </w:r>
      <w:r w:rsidRPr="000815A2">
        <w:rPr>
          <w:b/>
          <w:bCs/>
        </w:rPr>
        <w:t xml:space="preserve"> budowane w oparciu o konsorcja, zarówno w kraju jak też za granicą.</w:t>
      </w:r>
    </w:p>
    <w:p w14:paraId="435D4BFD" w14:textId="77777777" w:rsidR="00045DEA" w:rsidRDefault="00045DEA" w:rsidP="00045DEA"/>
    <w:p w14:paraId="6D38F6FC" w14:textId="3F16ED77" w:rsidR="00045DEA" w:rsidRDefault="00045DEA" w:rsidP="00045DEA">
      <w:r>
        <w:t xml:space="preserve">PHR, jako lider konsorcjum oraz Zremb Chojnice – partner konsorcjum, zawarli umowę podwykonawczą ze spółką specjalizującą się m.in. w produkcji i dostawach dla wojska systemów transportowych i logistycznych. Wartość zamówienia dotyczącego wykonania elementów platform transportowych dla jednej z armii wchodzących w skład sojuszu NATO wynosi 29,6 mln zł brutto – w wariancie podstawowym. Ponadto umowa przewiduje zamówienie opcjonalne w kwocie 29,5 mln zł brutto. Dostawy będą realizowane do lipca 2027 roku. Harmonogram wykonania opcji będzie odrębnie ustalony. </w:t>
      </w:r>
    </w:p>
    <w:p w14:paraId="3D6805BA" w14:textId="77777777" w:rsidR="00045DEA" w:rsidRPr="000815A2" w:rsidRDefault="00045DEA" w:rsidP="00045DEA">
      <w:pPr>
        <w:rPr>
          <w:i/>
          <w:iCs/>
        </w:rPr>
      </w:pPr>
      <w:r w:rsidRPr="000815A2">
        <w:rPr>
          <w:i/>
          <w:iCs/>
        </w:rPr>
        <w:t xml:space="preserve">- To pierwszy duży kontrakt przychodowy PHR. Wcześniej podpisaliśmy kilka listów intencyjnych </w:t>
      </w:r>
      <w:r>
        <w:rPr>
          <w:i/>
          <w:iCs/>
        </w:rPr>
        <w:t>oraz</w:t>
      </w:r>
      <w:r w:rsidRPr="000815A2">
        <w:rPr>
          <w:i/>
          <w:iCs/>
        </w:rPr>
        <w:t xml:space="preserve"> umów w zakresie kierunków naszych działań i obecnie intensywnie pracujemy nad kolejnymi zamówieniami. Jednak z uwagi na zakresy wymogów w sektorze zbrojeniowym jak i ogólną specyfikę sektora obronnego ich procedowanie jest czasochłonne. Nie da się tego porównać do sektora cywilnego. Niemniej podobnych zamówień powinno przybywać, gdyż obserwujemy nasilający się trend ze strony armii NATO, które zaczynają kłaść coraz większy nacisk na mobilność, logistykę i szybkość reagowania, znacznie zwiększających sprawność i efektywność działania. Dlatego coraz większą rolę odgrywają specjalistyczne kontenery czy platformy transportowe skrojone na potrzeby konkretnych armii. </w:t>
      </w:r>
    </w:p>
    <w:p w14:paraId="5AB084DD" w14:textId="77777777" w:rsidR="00045DEA" w:rsidRPr="000815A2" w:rsidRDefault="00045DEA" w:rsidP="00045DEA">
      <w:pPr>
        <w:rPr>
          <w:b/>
          <w:bCs/>
          <w:i/>
          <w:iCs/>
        </w:rPr>
      </w:pPr>
      <w:r w:rsidRPr="000815A2">
        <w:rPr>
          <w:i/>
          <w:iCs/>
        </w:rPr>
        <w:t>Patrząc szerzej na cały sektor obronny widzimy, że potrzeby rynkowe rosną, co w dużej mierze jest efektem unijnego programu zbrojeniowego SAFE, który ma wzmocnić europejski przemysł obronny. PHR widzi</w:t>
      </w:r>
      <w:r>
        <w:rPr>
          <w:i/>
          <w:iCs/>
        </w:rPr>
        <w:t xml:space="preserve"> </w:t>
      </w:r>
      <w:r w:rsidRPr="000815A2">
        <w:rPr>
          <w:i/>
          <w:iCs/>
        </w:rPr>
        <w:t>tu swoją rolę jako integrator w konsorcjach łączących wiele firm celem uczestniczenia w zdobywaniu zamówień w całej Europie. Wspólnie w konsorcjach łatwiej będzie sprostać wysokim wymaganiom stawianym przez zamawiających jak też konkurować z dużymi koncernam</w:t>
      </w:r>
      <w:r>
        <w:rPr>
          <w:i/>
          <w:iCs/>
        </w:rPr>
        <w:t>i –</w:t>
      </w:r>
      <w:r w:rsidRPr="000815A2">
        <w:rPr>
          <w:i/>
          <w:iCs/>
        </w:rPr>
        <w:t xml:space="preserve"> </w:t>
      </w:r>
      <w:r w:rsidRPr="000815A2">
        <w:t xml:space="preserve">podkreśla </w:t>
      </w:r>
      <w:r w:rsidRPr="000815A2">
        <w:rPr>
          <w:b/>
          <w:bCs/>
        </w:rPr>
        <w:t>Wojciech Dąbrowski, Prezes Zarządu Polskiego Holdingu Rozwoju</w:t>
      </w:r>
      <w:r w:rsidRPr="000815A2">
        <w:rPr>
          <w:b/>
          <w:bCs/>
          <w:i/>
          <w:iCs/>
        </w:rPr>
        <w:t>.</w:t>
      </w:r>
    </w:p>
    <w:p w14:paraId="40E5F963" w14:textId="46328139" w:rsidR="00045DEA" w:rsidRDefault="00045DEA" w:rsidP="00045DEA">
      <w:r>
        <w:t>PHR koncentruje się na udziale w budowaniu odporności Państwa poprzez wsparcie i integrację działalności podmiotów gospodarczych, zaangażowanych w produkcję i usługi na rzecz bezpieczeństwa i obronności. Angażuje się również w rozwój kadr przemysłowych, edukację i działania badawczo-rozwojowe. W tym roku spółka nabyła większościowy pakiet w firmie Rekrut24, którą wspiera w rozwoju kadr dla przedsiębiorstw działających</w:t>
      </w:r>
      <w:r w:rsidR="00826E47">
        <w:t xml:space="preserve"> w</w:t>
      </w:r>
      <w:r>
        <w:t xml:space="preserve"> sektorze obronnym. Również w tym roku PHR podpisał umowę ze spółką Siltec o wielokierunkowej współpracy w obszarze obronności oraz list intencyjny z Siecią Badawczą Łukasiewicz, który otwiera drogę do strategicznego partnerstwa na rzecz obronności i wzmocnienia innowacyjności i potencjału rozwojowego firm. Spółka rozpoczęła też współpracę z firmą Modular System w zakresie wspólnych inwestycji i/lub przedsięwzięć w </w:t>
      </w:r>
      <w:r w:rsidR="00BB277A">
        <w:t>segmencie</w:t>
      </w:r>
      <w:r>
        <w:t xml:space="preserve"> budownictwa modułowego. Ważne w kontekście dalszego rozwoju powinno być także nawiązanie współpracy z Czechoslovak Group Polska. Dzięki temu PHR zyska szeroki wachlarz możliwości oferowania różnego rodzaju produktów jednego z największych, prywatnych koncernów zbrojeniowych.</w:t>
      </w:r>
    </w:p>
    <w:p w14:paraId="519D2268" w14:textId="77777777" w:rsidR="00045DEA" w:rsidRDefault="00045DEA" w:rsidP="00045DEA"/>
    <w:p w14:paraId="143DC8A6" w14:textId="77777777" w:rsidR="00045DEA" w:rsidRDefault="00045DEA" w:rsidP="00045DEA"/>
    <w:p w14:paraId="21474C1E" w14:textId="77777777" w:rsidR="00045DEA" w:rsidRPr="000815A2" w:rsidRDefault="00045DEA" w:rsidP="00045DEA"/>
    <w:p w14:paraId="5B41FE58" w14:textId="77777777" w:rsidR="008A5ADC" w:rsidRDefault="008A5ADC"/>
    <w:sectPr w:rsidR="008A5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DEA"/>
    <w:rsid w:val="00020AE2"/>
    <w:rsid w:val="00045DEA"/>
    <w:rsid w:val="000E5147"/>
    <w:rsid w:val="00826E47"/>
    <w:rsid w:val="008A5ADC"/>
    <w:rsid w:val="00922235"/>
    <w:rsid w:val="00BA5E92"/>
    <w:rsid w:val="00BB27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C4513"/>
  <w15:chartTrackingRefBased/>
  <w15:docId w15:val="{6A02E441-5944-4172-BF4C-0E7D551F1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45DEA"/>
  </w:style>
  <w:style w:type="paragraph" w:styleId="Nagwek1">
    <w:name w:val="heading 1"/>
    <w:basedOn w:val="Normalny"/>
    <w:next w:val="Normalny"/>
    <w:link w:val="Nagwek1Znak"/>
    <w:uiPriority w:val="9"/>
    <w:qFormat/>
    <w:rsid w:val="00045D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045D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045DEA"/>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045DEA"/>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045DEA"/>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045DEA"/>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45DEA"/>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45DEA"/>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45DEA"/>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45DEA"/>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045DEA"/>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045DEA"/>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045DEA"/>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045DEA"/>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045DEA"/>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45DEA"/>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45DEA"/>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45DEA"/>
    <w:rPr>
      <w:rFonts w:eastAsiaTheme="majorEastAsia" w:cstheme="majorBidi"/>
      <w:color w:val="272727" w:themeColor="text1" w:themeTint="D8"/>
    </w:rPr>
  </w:style>
  <w:style w:type="paragraph" w:styleId="Tytu">
    <w:name w:val="Title"/>
    <w:basedOn w:val="Normalny"/>
    <w:next w:val="Normalny"/>
    <w:link w:val="TytuZnak"/>
    <w:uiPriority w:val="10"/>
    <w:qFormat/>
    <w:rsid w:val="00045D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45DEA"/>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45DEA"/>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45DEA"/>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45DEA"/>
    <w:pPr>
      <w:spacing w:before="160"/>
      <w:jc w:val="center"/>
    </w:pPr>
    <w:rPr>
      <w:i/>
      <w:iCs/>
      <w:color w:val="404040" w:themeColor="text1" w:themeTint="BF"/>
    </w:rPr>
  </w:style>
  <w:style w:type="character" w:customStyle="1" w:styleId="CytatZnak">
    <w:name w:val="Cytat Znak"/>
    <w:basedOn w:val="Domylnaczcionkaakapitu"/>
    <w:link w:val="Cytat"/>
    <w:uiPriority w:val="29"/>
    <w:rsid w:val="00045DEA"/>
    <w:rPr>
      <w:i/>
      <w:iCs/>
      <w:color w:val="404040" w:themeColor="text1" w:themeTint="BF"/>
    </w:rPr>
  </w:style>
  <w:style w:type="paragraph" w:styleId="Akapitzlist">
    <w:name w:val="List Paragraph"/>
    <w:basedOn w:val="Normalny"/>
    <w:uiPriority w:val="34"/>
    <w:qFormat/>
    <w:rsid w:val="00045DEA"/>
    <w:pPr>
      <w:ind w:left="720"/>
      <w:contextualSpacing/>
    </w:pPr>
  </w:style>
  <w:style w:type="character" w:styleId="Wyrnienieintensywne">
    <w:name w:val="Intense Emphasis"/>
    <w:basedOn w:val="Domylnaczcionkaakapitu"/>
    <w:uiPriority w:val="21"/>
    <w:qFormat/>
    <w:rsid w:val="00045DEA"/>
    <w:rPr>
      <w:i/>
      <w:iCs/>
      <w:color w:val="0F4761" w:themeColor="accent1" w:themeShade="BF"/>
    </w:rPr>
  </w:style>
  <w:style w:type="paragraph" w:styleId="Cytatintensywny">
    <w:name w:val="Intense Quote"/>
    <w:basedOn w:val="Normalny"/>
    <w:next w:val="Normalny"/>
    <w:link w:val="CytatintensywnyZnak"/>
    <w:uiPriority w:val="30"/>
    <w:qFormat/>
    <w:rsid w:val="00045D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045DEA"/>
    <w:rPr>
      <w:i/>
      <w:iCs/>
      <w:color w:val="0F4761" w:themeColor="accent1" w:themeShade="BF"/>
    </w:rPr>
  </w:style>
  <w:style w:type="character" w:styleId="Odwoanieintensywne">
    <w:name w:val="Intense Reference"/>
    <w:basedOn w:val="Domylnaczcionkaakapitu"/>
    <w:uiPriority w:val="32"/>
    <w:qFormat/>
    <w:rsid w:val="00045DE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485</Words>
  <Characters>2913</Characters>
  <Application>Microsoft Office Word</Application>
  <DocSecurity>0</DocSecurity>
  <Lines>24</Lines>
  <Paragraphs>6</Paragraphs>
  <ScaleCrop>false</ScaleCrop>
  <Company/>
  <LinksUpToDate>false</LinksUpToDate>
  <CharactersWithSpaces>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Bartek Zbiejcik</dc:creator>
  <cp:keywords/>
  <dc:description/>
  <cp:lastModifiedBy>Bartek Zbiejcik</cp:lastModifiedBy>
  <cp:revision>5</cp:revision>
  <dcterms:created xsi:type="dcterms:W3CDTF">2025-08-22T05:50:00Z</dcterms:created>
  <dcterms:modified xsi:type="dcterms:W3CDTF">2025-08-22T08:10:00Z</dcterms:modified>
</cp:coreProperties>
</file>