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D2547" w14:textId="77777777" w:rsidR="006D7F0C" w:rsidRPr="006D7F0C" w:rsidRDefault="006D7F0C" w:rsidP="006D7F0C">
      <w:pPr>
        <w:jc w:val="both"/>
        <w:rPr>
          <w:u w:val="single"/>
        </w:rPr>
      </w:pPr>
      <w:r w:rsidRPr="006D7F0C">
        <w:rPr>
          <w:u w:val="single"/>
        </w:rPr>
        <w:t>Informacja prasowa</w:t>
      </w:r>
    </w:p>
    <w:p w14:paraId="533BB623" w14:textId="77777777" w:rsidR="006D7F0C" w:rsidRPr="006D7F0C" w:rsidRDefault="006D7F0C" w:rsidP="006D7F0C">
      <w:pPr>
        <w:jc w:val="both"/>
      </w:pPr>
      <w:proofErr w:type="spellStart"/>
      <w:r w:rsidRPr="006D7F0C">
        <w:rPr>
          <w:b/>
          <w:bCs/>
        </w:rPr>
        <w:t>Synthaverse</w:t>
      </w:r>
      <w:proofErr w:type="spellEnd"/>
      <w:r w:rsidRPr="006D7F0C">
        <w:rPr>
          <w:b/>
          <w:bCs/>
        </w:rPr>
        <w:t xml:space="preserve"> dynamicznie zwiększa sprzedaż i wynik EBITDA</w:t>
      </w:r>
    </w:p>
    <w:p w14:paraId="34C7300A" w14:textId="77777777" w:rsidR="006D7F0C" w:rsidRPr="006D7F0C" w:rsidRDefault="006D7F0C" w:rsidP="006D7F0C">
      <w:pPr>
        <w:jc w:val="both"/>
        <w:rPr>
          <w:b/>
          <w:bCs/>
        </w:rPr>
      </w:pPr>
      <w:r w:rsidRPr="006D7F0C">
        <w:rPr>
          <w:b/>
          <w:bCs/>
        </w:rPr>
        <w:t>Biotechnologiczna spółka zakończyła I półrocze 2026 r. wzrostem przychodów o ponad jedną trzecią i skokową poprawą wyniku EBITDA. W II półroczu chce kontynuować pozytywne trendy, wspierane przez rosnącą sprzedaż eksportową. Równolegle prowadzi działania zmierzające do optymalizacji i refinansowania zadłużenia.</w:t>
      </w:r>
    </w:p>
    <w:p w14:paraId="588AADF9" w14:textId="77777777" w:rsidR="006D7F0C" w:rsidRPr="006D7F0C" w:rsidRDefault="006D7F0C" w:rsidP="006D7F0C">
      <w:pPr>
        <w:jc w:val="both"/>
      </w:pPr>
      <w:r w:rsidRPr="006D7F0C">
        <w:t xml:space="preserve">W I półroczu 2026 r. </w:t>
      </w:r>
      <w:proofErr w:type="spellStart"/>
      <w:r w:rsidRPr="006D7F0C">
        <w:t>Synthaverse</w:t>
      </w:r>
      <w:proofErr w:type="spellEnd"/>
      <w:r w:rsidRPr="006D7F0C">
        <w:t xml:space="preserve"> osiągnął 26,5 mln zł przychodów, o ponad 34 proc. więcej niż rok wcześniej.  Dynamiczny wzrost sprzedaży, przy jednoczesnym utrzymaniu dyscypliny kosztowej w podstawowej działalności, przełożył się na wzrost EBITDA do 5,4 mln zł z 2,2 mln zł w analogicznym okresie 2025 r., czyli o 142 proc. r/r. Wynik netto wyniósł -6,4 mln zł, na co wpływ miały m.in. niegotówkowe koszty amortyzacji oraz koszty finansowe. Jednocześnie działalność podstawowa jest w pełni rentowna i generuje silne, dodatnie przepływy pieniężne z działalności operacyjnej, które w minionym półroczu sięgnęły 6,8 mln zł.</w:t>
      </w:r>
    </w:p>
    <w:p w14:paraId="5B410817" w14:textId="77777777" w:rsidR="006D7F0C" w:rsidRPr="006D7F0C" w:rsidRDefault="006D7F0C" w:rsidP="006D7F0C">
      <w:pPr>
        <w:jc w:val="both"/>
      </w:pPr>
      <w:r w:rsidRPr="006D7F0C">
        <w:t xml:space="preserve">Głównymi motorami wzrostu przychodów były </w:t>
      </w:r>
      <w:proofErr w:type="spellStart"/>
      <w:r w:rsidRPr="006D7F0C">
        <w:t>Distreptaza</w:t>
      </w:r>
      <w:proofErr w:type="spellEnd"/>
      <w:r w:rsidRPr="006D7F0C">
        <w:t xml:space="preserve">, </w:t>
      </w:r>
      <w:proofErr w:type="spellStart"/>
      <w:r w:rsidRPr="006D7F0C">
        <w:t>Onko</w:t>
      </w:r>
      <w:proofErr w:type="spellEnd"/>
      <w:r w:rsidRPr="006D7F0C">
        <w:t xml:space="preserve"> BCG oraz szczepionka BCG 10. W minionym półroczu sprzedaż </w:t>
      </w:r>
      <w:proofErr w:type="spellStart"/>
      <w:r w:rsidRPr="006D7F0C">
        <w:t>Distreptazy</w:t>
      </w:r>
      <w:proofErr w:type="spellEnd"/>
      <w:r w:rsidRPr="006D7F0C">
        <w:t xml:space="preserve"> wzrosła o 83 proc. r/r, do 8,98 mln zł. Przychody ze sprzedaży </w:t>
      </w:r>
      <w:proofErr w:type="spellStart"/>
      <w:r w:rsidRPr="006D7F0C">
        <w:t>Onko</w:t>
      </w:r>
      <w:proofErr w:type="spellEnd"/>
      <w:r w:rsidRPr="006D7F0C">
        <w:t xml:space="preserve"> BCG zwiększyły się o 14 proc., do 14,50 mln zł, a szczepionki BCG 10 o 39 proc., osiągając 1,7 mln zł.</w:t>
      </w:r>
    </w:p>
    <w:p w14:paraId="68E04401" w14:textId="77777777" w:rsidR="006D7F0C" w:rsidRPr="006D7F0C" w:rsidRDefault="006D7F0C" w:rsidP="006D7F0C">
      <w:pPr>
        <w:jc w:val="both"/>
      </w:pPr>
      <w:r w:rsidRPr="006D7F0C">
        <w:t xml:space="preserve">– Dynamika sprzedaży oraz istotna poprawa EBITDA w I półroczu stanowią dobry prognostyk na kolejne okresy. Konsekwentnie zwiększamy obecność za granicą – zrealizowaliśmy pierwszą w historii sprzedaż </w:t>
      </w:r>
      <w:proofErr w:type="spellStart"/>
      <w:r w:rsidRPr="006D7F0C">
        <w:t>Onko</w:t>
      </w:r>
      <w:proofErr w:type="spellEnd"/>
      <w:r w:rsidRPr="006D7F0C">
        <w:t xml:space="preserve"> BCG do Holandii oraz uzyskaliśmy pozwolenia na dopuszczenie produktu do obrotu w Serbii i Ekwadorze.</w:t>
      </w:r>
    </w:p>
    <w:p w14:paraId="7E9DB88B" w14:textId="77777777" w:rsidR="006D7F0C" w:rsidRPr="006D7F0C" w:rsidRDefault="006D7F0C" w:rsidP="006D7F0C">
      <w:pPr>
        <w:jc w:val="both"/>
        <w:rPr>
          <w:b/>
          <w:bCs/>
        </w:rPr>
      </w:pPr>
      <w:r w:rsidRPr="006D7F0C">
        <w:t xml:space="preserve">W II półroczu oczekujemy kontynuacji pozytywnych trendów, wspieranych przez rosnący udział eksportu. Równolegle prowadzimy zaawansowane działania w zakresie optymalizacji i refinansowania struktury zadłużenia, co docelowo powinno pozwolić na istotne obniżenie kosztów finansowych. Naszym celem jest dalsze obniżanie kosztów, wzmocnienie bilansu i stworzenie warunków do dalszego rozwoju – komentuje </w:t>
      </w:r>
      <w:r w:rsidRPr="006D7F0C">
        <w:rPr>
          <w:b/>
          <w:bCs/>
        </w:rPr>
        <w:t xml:space="preserve">Artur Chodkowski, Prezes Zarządu </w:t>
      </w:r>
      <w:proofErr w:type="spellStart"/>
      <w:r w:rsidRPr="006D7F0C">
        <w:rPr>
          <w:b/>
          <w:bCs/>
        </w:rPr>
        <w:t>Synthaverse</w:t>
      </w:r>
      <w:proofErr w:type="spellEnd"/>
      <w:r w:rsidRPr="006D7F0C">
        <w:rPr>
          <w:b/>
          <w:bCs/>
        </w:rPr>
        <w:t xml:space="preserve"> SA.</w:t>
      </w:r>
    </w:p>
    <w:p w14:paraId="03BDB911" w14:textId="77777777" w:rsidR="006D7F0C" w:rsidRPr="006D7F0C" w:rsidRDefault="006D7F0C" w:rsidP="006D7F0C">
      <w:pPr>
        <w:jc w:val="both"/>
      </w:pPr>
      <w:r w:rsidRPr="006D7F0C">
        <w:t xml:space="preserve">Spółka konsekwentnie rozszerza obecność swoich kluczowych produktów na rynkach zagranicznych. W 2026 r. poszerzyła współpracę z serbską firmą farmaceutyczną </w:t>
      </w:r>
      <w:proofErr w:type="spellStart"/>
      <w:r w:rsidRPr="006D7F0C">
        <w:t>CoraPharm</w:t>
      </w:r>
      <w:proofErr w:type="spellEnd"/>
      <w:r w:rsidRPr="006D7F0C">
        <w:t xml:space="preserve"> w zakresie </w:t>
      </w:r>
      <w:proofErr w:type="spellStart"/>
      <w:r w:rsidRPr="006D7F0C">
        <w:t>Onko</w:t>
      </w:r>
      <w:proofErr w:type="spellEnd"/>
      <w:r w:rsidRPr="006D7F0C">
        <w:t xml:space="preserve"> BCG 100 o Albanię, Macedonię Północną i Czarnogórę, a ze słowackim partnerem </w:t>
      </w:r>
      <w:proofErr w:type="spellStart"/>
      <w:r w:rsidRPr="006D7F0C">
        <w:t>Biodrug</w:t>
      </w:r>
      <w:proofErr w:type="spellEnd"/>
      <w:r w:rsidRPr="006D7F0C">
        <w:t xml:space="preserve"> – o Australię i Nową Zelandię. </w:t>
      </w:r>
      <w:proofErr w:type="spellStart"/>
      <w:r w:rsidRPr="006D7F0C">
        <w:t>Synthaverse</w:t>
      </w:r>
      <w:proofErr w:type="spellEnd"/>
      <w:r w:rsidRPr="006D7F0C">
        <w:t xml:space="preserve"> rozpoczął również współpracę z podmiotem należącym do indyjskiej grupy MSN Laboratories, dotyczącą potencjalnego wprowadzenia </w:t>
      </w:r>
      <w:proofErr w:type="spellStart"/>
      <w:r w:rsidRPr="006D7F0C">
        <w:t>Onko</w:t>
      </w:r>
      <w:proofErr w:type="spellEnd"/>
      <w:r w:rsidRPr="006D7F0C">
        <w:t xml:space="preserve"> BCG 100 na rynek hiszpański.</w:t>
      </w:r>
    </w:p>
    <w:p w14:paraId="20716B5D" w14:textId="77777777" w:rsidR="006D7F0C" w:rsidRPr="006D7F0C" w:rsidRDefault="006D7F0C" w:rsidP="006D7F0C">
      <w:pPr>
        <w:jc w:val="both"/>
      </w:pPr>
      <w:r w:rsidRPr="006D7F0C">
        <w:t xml:space="preserve">Istotnym elementem ekspansji jest uzyskanie rejestracji </w:t>
      </w:r>
      <w:proofErr w:type="spellStart"/>
      <w:r w:rsidRPr="006D7F0C">
        <w:t>Onko</w:t>
      </w:r>
      <w:proofErr w:type="spellEnd"/>
      <w:r w:rsidRPr="006D7F0C">
        <w:t xml:space="preserve"> BCG 100 w Serbii i Ekwadorze. Ekwador ma być dla </w:t>
      </w:r>
      <w:proofErr w:type="spellStart"/>
      <w:r w:rsidRPr="006D7F0C">
        <w:t>Synthaverse</w:t>
      </w:r>
      <w:proofErr w:type="spellEnd"/>
      <w:r w:rsidRPr="006D7F0C">
        <w:t xml:space="preserve"> jednym z punktów dalszego rozwoju w Ameryce Południowej, gdzie spółka planuje ekspansję m.in. na rynki Brazylii, Argentyny, Chile, Kolumbii, Peru i Paragwaju. Potencjał sprzedażowy wspiera utrzymujący się globalny niedobór preparatów BCG stosowanych w terapii raka pęcherza moczowego. Równolegle partner handlowy </w:t>
      </w:r>
      <w:proofErr w:type="spellStart"/>
      <w:r w:rsidRPr="006D7F0C">
        <w:t>Synthaverse</w:t>
      </w:r>
      <w:proofErr w:type="spellEnd"/>
      <w:r w:rsidRPr="006D7F0C">
        <w:t xml:space="preserve"> uzyskał w tym roku pozwolenie na sprzedaż szczepionki przeciwgruźliczej BCG 10 w Arabii Saudyjskiej.</w:t>
      </w:r>
    </w:p>
    <w:p w14:paraId="3A308C60" w14:textId="77777777" w:rsidR="006D7F0C" w:rsidRPr="006D7F0C" w:rsidRDefault="006D7F0C" w:rsidP="006D7F0C">
      <w:pPr>
        <w:jc w:val="both"/>
      </w:pPr>
    </w:p>
    <w:p w14:paraId="2AFB48C6" w14:textId="77777777" w:rsidR="00415FC5" w:rsidRPr="009652D8" w:rsidRDefault="00415FC5" w:rsidP="00D76936">
      <w:pPr>
        <w:jc w:val="both"/>
      </w:pPr>
    </w:p>
    <w:sectPr w:rsidR="00415FC5" w:rsidRPr="00965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C6732"/>
    <w:multiLevelType w:val="multilevel"/>
    <w:tmpl w:val="6658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D7E5A"/>
    <w:multiLevelType w:val="multilevel"/>
    <w:tmpl w:val="3D24D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42AA9"/>
    <w:multiLevelType w:val="multilevel"/>
    <w:tmpl w:val="B184C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801B87"/>
    <w:multiLevelType w:val="multilevel"/>
    <w:tmpl w:val="9B74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DF7D0D"/>
    <w:multiLevelType w:val="multilevel"/>
    <w:tmpl w:val="66B6B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7855569">
    <w:abstractNumId w:val="0"/>
  </w:num>
  <w:num w:numId="2" w16cid:durableId="1967811435">
    <w:abstractNumId w:val="1"/>
  </w:num>
  <w:num w:numId="3" w16cid:durableId="1892493438">
    <w:abstractNumId w:val="4"/>
  </w:num>
  <w:num w:numId="4" w16cid:durableId="132523911">
    <w:abstractNumId w:val="3"/>
  </w:num>
  <w:num w:numId="5" w16cid:durableId="1417897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682"/>
    <w:rsid w:val="000A3FCC"/>
    <w:rsid w:val="000E5147"/>
    <w:rsid w:val="001F2D62"/>
    <w:rsid w:val="003127D6"/>
    <w:rsid w:val="003936FA"/>
    <w:rsid w:val="003A2180"/>
    <w:rsid w:val="00415FC5"/>
    <w:rsid w:val="00472750"/>
    <w:rsid w:val="00486E25"/>
    <w:rsid w:val="004E0E2A"/>
    <w:rsid w:val="004F468B"/>
    <w:rsid w:val="005135A2"/>
    <w:rsid w:val="0052715D"/>
    <w:rsid w:val="0053098B"/>
    <w:rsid w:val="00534B7E"/>
    <w:rsid w:val="00535A8A"/>
    <w:rsid w:val="00575A82"/>
    <w:rsid w:val="005C0A0C"/>
    <w:rsid w:val="005D2697"/>
    <w:rsid w:val="005F2684"/>
    <w:rsid w:val="006028DD"/>
    <w:rsid w:val="006A74BD"/>
    <w:rsid w:val="006D7F0C"/>
    <w:rsid w:val="00700031"/>
    <w:rsid w:val="00766512"/>
    <w:rsid w:val="00831A22"/>
    <w:rsid w:val="00873D04"/>
    <w:rsid w:val="008A5ADC"/>
    <w:rsid w:val="009652D8"/>
    <w:rsid w:val="009B78E1"/>
    <w:rsid w:val="00A45641"/>
    <w:rsid w:val="00A839D7"/>
    <w:rsid w:val="00AA0D28"/>
    <w:rsid w:val="00B71E8D"/>
    <w:rsid w:val="00CD1682"/>
    <w:rsid w:val="00D31808"/>
    <w:rsid w:val="00D76936"/>
    <w:rsid w:val="00E01DEC"/>
    <w:rsid w:val="00EB3F4F"/>
    <w:rsid w:val="00EF5A00"/>
    <w:rsid w:val="00F2540A"/>
    <w:rsid w:val="00F47F08"/>
    <w:rsid w:val="00F71F0F"/>
    <w:rsid w:val="00F9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7B80D"/>
  <w15:chartTrackingRefBased/>
  <w15:docId w15:val="{FC7B88E1-A2C9-4395-A09D-6D9F59540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D16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16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16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16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16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16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16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16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16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16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16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16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168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168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16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16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16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16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16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1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16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16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16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168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16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168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16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168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1682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535A8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Zbiejcik</dc:creator>
  <cp:keywords/>
  <dc:description/>
  <cp:lastModifiedBy>Maciej Zbiejcik</cp:lastModifiedBy>
  <cp:revision>23</cp:revision>
  <dcterms:created xsi:type="dcterms:W3CDTF">2026-09-24T18:28:00Z</dcterms:created>
  <dcterms:modified xsi:type="dcterms:W3CDTF">2026-09-30T05:58:00Z</dcterms:modified>
</cp:coreProperties>
</file>