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92F80" w14:textId="77777777" w:rsidR="0043205F" w:rsidRPr="0043205F" w:rsidRDefault="0043205F" w:rsidP="0043205F">
      <w:pPr>
        <w:rPr>
          <w:rFonts w:ascii="Times New Roman" w:hAnsi="Times New Roman" w:cs="Times New Roman"/>
          <w:b/>
          <w:bCs/>
        </w:rPr>
      </w:pPr>
      <w:r w:rsidRPr="0043205F">
        <w:rPr>
          <w:rFonts w:ascii="Times New Roman" w:hAnsi="Times New Roman" w:cs="Times New Roman"/>
          <w:b/>
          <w:bCs/>
        </w:rPr>
        <w:t>Informacja prasowa</w:t>
      </w:r>
    </w:p>
    <w:p w14:paraId="0E50441A" w14:textId="77777777" w:rsidR="0043205F" w:rsidRPr="0043205F" w:rsidRDefault="0043205F" w:rsidP="0043205F">
      <w:pPr>
        <w:rPr>
          <w:rFonts w:ascii="Times New Roman" w:hAnsi="Times New Roman" w:cs="Times New Roman"/>
          <w:b/>
          <w:bCs/>
        </w:rPr>
      </w:pPr>
      <w:r w:rsidRPr="0043205F">
        <w:rPr>
          <w:rFonts w:ascii="Times New Roman" w:hAnsi="Times New Roman" w:cs="Times New Roman"/>
          <w:b/>
          <w:bCs/>
        </w:rPr>
        <w:t>Synthaverse realizuje plan stabilizacji, widzi wysoki potencjał sprzedażowy dla głównych produktów firmy</w:t>
      </w:r>
    </w:p>
    <w:p w14:paraId="38516400" w14:textId="712CC6BF" w:rsidR="0043205F" w:rsidRPr="0043205F" w:rsidRDefault="0043205F" w:rsidP="0043205F">
      <w:pPr>
        <w:rPr>
          <w:rFonts w:ascii="Times New Roman" w:hAnsi="Times New Roman" w:cs="Times New Roman"/>
          <w:b/>
          <w:bCs/>
        </w:rPr>
      </w:pPr>
      <w:r w:rsidRPr="0043205F">
        <w:rPr>
          <w:rFonts w:ascii="Times New Roman" w:hAnsi="Times New Roman" w:cs="Times New Roman"/>
          <w:b/>
          <w:bCs/>
        </w:rPr>
        <w:t>Biotechnologiczna Spółka zakończyła I kwartał br. lekkim wzrostem przychodów. Znaczący potencjał sprzedażowy głównych produktów powoduje, że Zarząd z optymizmem patrzymy na kolejne kwartały. Jednocześnie trwa dogłębna analiza obejmująca możliwość dezinwestycji wybranych aktywów, co mogłoby wzmocnić płynność finansową i strukturę bilansu Synthaverse</w:t>
      </w:r>
      <w:r w:rsidR="00C40612">
        <w:rPr>
          <w:rFonts w:ascii="Times New Roman" w:hAnsi="Times New Roman" w:cs="Times New Roman"/>
          <w:b/>
          <w:bCs/>
        </w:rPr>
        <w:t xml:space="preserve">. </w:t>
      </w:r>
    </w:p>
    <w:p w14:paraId="25762393" w14:textId="62A10940" w:rsidR="0043205F" w:rsidRPr="0043205F" w:rsidRDefault="0043205F" w:rsidP="0043205F">
      <w:pPr>
        <w:rPr>
          <w:rFonts w:ascii="Times New Roman" w:hAnsi="Times New Roman" w:cs="Times New Roman"/>
          <w:b/>
          <w:bCs/>
        </w:rPr>
      </w:pPr>
    </w:p>
    <w:p w14:paraId="403F947F" w14:textId="77777777" w:rsidR="0043205F" w:rsidRPr="0043205F" w:rsidRDefault="0043205F" w:rsidP="0043205F">
      <w:pPr>
        <w:rPr>
          <w:rFonts w:ascii="Times New Roman" w:hAnsi="Times New Roman" w:cs="Times New Roman"/>
        </w:rPr>
      </w:pPr>
      <w:r w:rsidRPr="0043205F">
        <w:rPr>
          <w:rFonts w:ascii="Times New Roman" w:hAnsi="Times New Roman" w:cs="Times New Roman"/>
        </w:rPr>
        <w:t xml:space="preserve">W I kwartale 2026 roku Spółka wypracowała 13,6 mln zł przychodów ze sprzedaży wobec 13,4 mln zł uzyskanych w analogicznym okresie ubiegłego roku. EBITDA wyniosła 2,72 mln zł (3,36 mln zł rok wcześniej). Na poziomie wyniku netto była strata w wysokości -3,6 mln zł. Spółka zakończyła miniony kwartał pozytywnymi przepływami z działalności operacyjnej na poziomie 4,6 mln zł. </w:t>
      </w:r>
    </w:p>
    <w:p w14:paraId="62309AA9" w14:textId="4DFA2EF7" w:rsidR="0043205F" w:rsidRPr="0043205F" w:rsidRDefault="0043205F" w:rsidP="0043205F">
      <w:pPr>
        <w:rPr>
          <w:rFonts w:ascii="Times New Roman" w:hAnsi="Times New Roman" w:cs="Times New Roman"/>
          <w:b/>
          <w:bCs/>
        </w:rPr>
      </w:pPr>
      <w:r w:rsidRPr="0043205F">
        <w:rPr>
          <w:rFonts w:ascii="Times New Roman" w:hAnsi="Times New Roman" w:cs="Times New Roman"/>
        </w:rPr>
        <w:t>- Pierwszy kwartał br. pokazał, że mamy stabilną sprzedaż, która jeszcze nie pokrywa wszystkich kosztów, ale duży potencjał sprzedażowy naszych głównych produktów leczniczych powoduje, że z umiarkowanym optymizmem patrzymy na kolejne kwartały. Jednym z kluczowych produktów, który chcemy rozwijać jest Onko BCG. Funkcjonujemy na wielu europejskich rynkach i przy globalnych brakach nasz lek</w:t>
      </w:r>
      <w:r>
        <w:rPr>
          <w:rFonts w:ascii="Times New Roman" w:hAnsi="Times New Roman" w:cs="Times New Roman"/>
        </w:rPr>
        <w:t xml:space="preserve">, </w:t>
      </w:r>
      <w:r w:rsidRPr="0043205F">
        <w:rPr>
          <w:rFonts w:ascii="Times New Roman" w:hAnsi="Times New Roman" w:cs="Times New Roman"/>
        </w:rPr>
        <w:t>znajduj</w:t>
      </w:r>
      <w:r>
        <w:rPr>
          <w:rFonts w:ascii="Times New Roman" w:hAnsi="Times New Roman" w:cs="Times New Roman"/>
        </w:rPr>
        <w:t>ą</w:t>
      </w:r>
      <w:r w:rsidRPr="0043205F">
        <w:rPr>
          <w:rFonts w:ascii="Times New Roman" w:hAnsi="Times New Roman" w:cs="Times New Roman"/>
        </w:rPr>
        <w:t>cy się w standardzie leczenia, ma ciągle bardzo wysoki potencjał sprzedażowych. Właśnie otrzymaliśmy informację o rejestracji Onko BCG na terytorium Ekwadoru. Jest to pierwsza rejestracja w Ameryce Południowej</w:t>
      </w:r>
      <w:r w:rsidR="002050D1">
        <w:rPr>
          <w:rFonts w:ascii="Times New Roman" w:hAnsi="Times New Roman" w:cs="Times New Roman"/>
        </w:rPr>
        <w:t xml:space="preserve">, która </w:t>
      </w:r>
      <w:r w:rsidRPr="0043205F">
        <w:rPr>
          <w:rFonts w:ascii="Times New Roman" w:hAnsi="Times New Roman" w:cs="Times New Roman"/>
        </w:rPr>
        <w:t xml:space="preserve">stanowi istotny etap realizacji strategii międzynarodowej ekspansji na rynki Ameryki Łacińskiej do takich krajów jak: Brazylia, Argentyna, Chile, Kolumbia, Peru oraz Paragwaj – komentuje </w:t>
      </w:r>
      <w:r w:rsidRPr="0043205F">
        <w:rPr>
          <w:rFonts w:ascii="Times New Roman" w:hAnsi="Times New Roman" w:cs="Times New Roman"/>
          <w:b/>
          <w:bCs/>
        </w:rPr>
        <w:t>Artur Chodkowski, Prezes Zarządu Synthaverse.</w:t>
      </w:r>
    </w:p>
    <w:p w14:paraId="7DAA2D04" w14:textId="77777777" w:rsidR="0043205F" w:rsidRPr="0043205F" w:rsidRDefault="0043205F" w:rsidP="0043205F">
      <w:pPr>
        <w:rPr>
          <w:rFonts w:ascii="Times New Roman" w:hAnsi="Times New Roman" w:cs="Times New Roman"/>
        </w:rPr>
      </w:pPr>
      <w:r w:rsidRPr="0043205F">
        <w:rPr>
          <w:rFonts w:ascii="Times New Roman" w:hAnsi="Times New Roman" w:cs="Times New Roman"/>
        </w:rPr>
        <w:t>Obecnie poza Ekwadorem produkt leczniczy Onko BCG zarejestrowany jest we Francji, Niemczech, Szwajcarii, Rumunii, Ukrainie, Urugwaju, na Malcie, w Bośni i Hercegowinie, Holandii, oraz Serbii.</w:t>
      </w:r>
    </w:p>
    <w:p w14:paraId="048DFAAD" w14:textId="040F0032" w:rsidR="0043205F" w:rsidRPr="0043205F" w:rsidRDefault="0043205F" w:rsidP="0043205F">
      <w:pPr>
        <w:rPr>
          <w:rFonts w:ascii="Times New Roman" w:hAnsi="Times New Roman" w:cs="Times New Roman"/>
        </w:rPr>
      </w:pPr>
      <w:r w:rsidRPr="0043205F">
        <w:rPr>
          <w:rFonts w:ascii="Times New Roman" w:hAnsi="Times New Roman" w:cs="Times New Roman"/>
        </w:rPr>
        <w:t>Spółka oprócz działań operacyjnych związanych z rozwojem podejmuje również inicjatywy dotycz</w:t>
      </w:r>
      <w:r>
        <w:rPr>
          <w:rFonts w:ascii="Times New Roman" w:hAnsi="Times New Roman" w:cs="Times New Roman"/>
        </w:rPr>
        <w:t>ące</w:t>
      </w:r>
      <w:r w:rsidRPr="0043205F">
        <w:rPr>
          <w:rFonts w:ascii="Times New Roman" w:hAnsi="Times New Roman" w:cs="Times New Roman"/>
        </w:rPr>
        <w:t xml:space="preserve"> stabilności finansowej – wzmocnienia bilansu i płynności. Synthaverse prowadzi analizy związane z potencjalnym scenariuszem obejmującym dezinwestycje wybranych aktywów. </w:t>
      </w:r>
    </w:p>
    <w:p w14:paraId="7A078F56" w14:textId="21AEA282" w:rsidR="00211F06" w:rsidRPr="0043205F" w:rsidRDefault="0043205F" w:rsidP="0043205F">
      <w:pPr>
        <w:rPr>
          <w:rFonts w:ascii="Times New Roman" w:hAnsi="Times New Roman" w:cs="Times New Roman"/>
        </w:rPr>
      </w:pPr>
      <w:r w:rsidRPr="0043205F">
        <w:rPr>
          <w:rFonts w:ascii="Times New Roman" w:hAnsi="Times New Roman" w:cs="Times New Roman"/>
        </w:rPr>
        <w:t>- Spółka mierząc się z trudnościami płynnościowymi realizuje plan, który ma na celu ustabilizowanie naszej sytuacji. Jesteśmy w stałym kontakcie z naszymi wierzycielami, którzy wykazują zrozumienie dla zaistniałej sytuacji. Prowadzimy też szczegółową analizę możliwości biznesowych</w:t>
      </w:r>
      <w:r>
        <w:rPr>
          <w:rFonts w:ascii="Times New Roman" w:hAnsi="Times New Roman" w:cs="Times New Roman"/>
        </w:rPr>
        <w:t xml:space="preserve">, </w:t>
      </w:r>
      <w:r w:rsidRPr="0043205F">
        <w:rPr>
          <w:rFonts w:ascii="Times New Roman" w:hAnsi="Times New Roman" w:cs="Times New Roman"/>
        </w:rPr>
        <w:t>które pozwoliłaby na spłatę zadłużenia i poprawę struktury bilansu oraz wzmocnienie płynności finansowej Spółki. Naszym celem jest by ewentualna decyzja miała neutralny wpływ na kluczowe zdolności produkcyjne w zakresie Onko BCG. Obecnie jesteśmy na etapie certyfikacji nowego zakładu, a uruchomienie produkcji w nowym zakładzie</w:t>
      </w:r>
      <w:r w:rsidR="002050D1">
        <w:rPr>
          <w:rFonts w:ascii="Times New Roman" w:hAnsi="Times New Roman" w:cs="Times New Roman"/>
        </w:rPr>
        <w:t>,</w:t>
      </w:r>
      <w:r w:rsidRPr="0043205F">
        <w:rPr>
          <w:rFonts w:ascii="Times New Roman" w:hAnsi="Times New Roman" w:cs="Times New Roman"/>
        </w:rPr>
        <w:t xml:space="preserve"> zgodnie z ostatnimi informacjami</w:t>
      </w:r>
      <w:r w:rsidR="002050D1">
        <w:rPr>
          <w:rFonts w:ascii="Times New Roman" w:hAnsi="Times New Roman" w:cs="Times New Roman"/>
        </w:rPr>
        <w:t>,</w:t>
      </w:r>
      <w:r w:rsidRPr="0043205F">
        <w:rPr>
          <w:rFonts w:ascii="Times New Roman" w:hAnsi="Times New Roman" w:cs="Times New Roman"/>
        </w:rPr>
        <w:t xml:space="preserve"> planowane jest w IV kwartale 2027 roku – dodaje </w:t>
      </w:r>
      <w:r w:rsidRPr="0043205F">
        <w:rPr>
          <w:rFonts w:ascii="Times New Roman" w:hAnsi="Times New Roman" w:cs="Times New Roman"/>
          <w:b/>
          <w:bCs/>
        </w:rPr>
        <w:t>Artur Chodkowski.</w:t>
      </w:r>
    </w:p>
    <w:sectPr w:rsidR="00211F06" w:rsidRPr="00432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B9"/>
    <w:rsid w:val="0004621D"/>
    <w:rsid w:val="00096BE5"/>
    <w:rsid w:val="000A643F"/>
    <w:rsid w:val="000E5147"/>
    <w:rsid w:val="002050D1"/>
    <w:rsid w:val="00211F06"/>
    <w:rsid w:val="00276DAD"/>
    <w:rsid w:val="00281E00"/>
    <w:rsid w:val="00345FB1"/>
    <w:rsid w:val="003B17C3"/>
    <w:rsid w:val="003C3C24"/>
    <w:rsid w:val="0043205F"/>
    <w:rsid w:val="0054764B"/>
    <w:rsid w:val="00574B6A"/>
    <w:rsid w:val="005A1A69"/>
    <w:rsid w:val="005F4809"/>
    <w:rsid w:val="0068731C"/>
    <w:rsid w:val="007B5B5C"/>
    <w:rsid w:val="008A5ADC"/>
    <w:rsid w:val="00903B54"/>
    <w:rsid w:val="009A4538"/>
    <w:rsid w:val="00A3666E"/>
    <w:rsid w:val="00B022B9"/>
    <w:rsid w:val="00BA43D0"/>
    <w:rsid w:val="00C40612"/>
    <w:rsid w:val="00C95E12"/>
    <w:rsid w:val="00CC5B31"/>
    <w:rsid w:val="00D3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E6B04"/>
  <w15:chartTrackingRefBased/>
  <w15:docId w15:val="{A601920F-8DD7-4A74-880B-15941170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2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2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2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2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2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2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2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2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2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2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2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410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Zbiejcik</dc:creator>
  <cp:keywords/>
  <dc:description/>
  <cp:lastModifiedBy>Bartek Zbiejcik</cp:lastModifiedBy>
  <cp:revision>14</cp:revision>
  <dcterms:created xsi:type="dcterms:W3CDTF">2026-05-27T07:48:00Z</dcterms:created>
  <dcterms:modified xsi:type="dcterms:W3CDTF">2026-05-28T06:17:00Z</dcterms:modified>
</cp:coreProperties>
</file>