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70CA5" w14:textId="28FEE94A" w:rsidR="008A5ADC" w:rsidRPr="00134B47" w:rsidRDefault="00106AC1" w:rsidP="009D1E6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4B47">
        <w:rPr>
          <w:rFonts w:ascii="Times New Roman" w:hAnsi="Times New Roman" w:cs="Times New Roman"/>
          <w:sz w:val="28"/>
          <w:szCs w:val="28"/>
          <w:u w:val="single"/>
        </w:rPr>
        <w:t xml:space="preserve">Informacja prasowa </w:t>
      </w:r>
    </w:p>
    <w:p w14:paraId="6526E27B" w14:textId="77777777" w:rsidR="00914ACA" w:rsidRPr="00134B47" w:rsidRDefault="00914ACA" w:rsidP="009D1E6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AF8CA6" w14:textId="4D41805D" w:rsidR="00914ACA" w:rsidRPr="00134B47" w:rsidRDefault="00914ACA" w:rsidP="009D1E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34B47">
        <w:rPr>
          <w:rFonts w:ascii="Times New Roman" w:hAnsi="Times New Roman" w:cs="Times New Roman"/>
          <w:b/>
          <w:bCs/>
          <w:sz w:val="28"/>
          <w:szCs w:val="28"/>
        </w:rPr>
        <w:t>Synthaverse</w:t>
      </w:r>
      <w:proofErr w:type="spellEnd"/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wchodzi z </w:t>
      </w:r>
      <w:proofErr w:type="spellStart"/>
      <w:r w:rsidRPr="00134B47">
        <w:rPr>
          <w:rFonts w:ascii="Times New Roman" w:hAnsi="Times New Roman" w:cs="Times New Roman"/>
          <w:b/>
          <w:bCs/>
          <w:sz w:val="28"/>
          <w:szCs w:val="28"/>
        </w:rPr>
        <w:t>Onko</w:t>
      </w:r>
      <w:proofErr w:type="spellEnd"/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BCG na nowy kontynent i otwiera drog</w:t>
      </w:r>
      <w:r w:rsidR="00753F0E">
        <w:rPr>
          <w:rFonts w:ascii="Times New Roman" w:hAnsi="Times New Roman" w:cs="Times New Roman"/>
          <w:b/>
          <w:bCs/>
          <w:sz w:val="28"/>
          <w:szCs w:val="28"/>
        </w:rPr>
        <w:t>ę</w:t>
      </w:r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do ekspansji na rynkach Azji i Pacyfiku</w:t>
      </w:r>
    </w:p>
    <w:p w14:paraId="2E4E3041" w14:textId="4854CA1F" w:rsidR="00914ACA" w:rsidRPr="00134B47" w:rsidRDefault="00914ACA" w:rsidP="009D1E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Polski producent leków rozszerza współpracę ze słowacką firmą farmaceutyczną </w:t>
      </w:r>
      <w:proofErr w:type="spellStart"/>
      <w:r w:rsidRPr="00134B47">
        <w:rPr>
          <w:rFonts w:ascii="Times New Roman" w:hAnsi="Times New Roman" w:cs="Times New Roman"/>
          <w:b/>
          <w:bCs/>
          <w:sz w:val="28"/>
          <w:szCs w:val="28"/>
        </w:rPr>
        <w:t>Biodrug</w:t>
      </w:r>
      <w:proofErr w:type="spellEnd"/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o nowe kraje – Australię i Nową Zelandię. To kolejny</w:t>
      </w:r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strategiczny</w:t>
      </w:r>
      <w:r w:rsidR="00E00E6A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krok</w:t>
      </w:r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14D3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w kierunku </w:t>
      </w:r>
      <w:r w:rsidR="004F3B37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dalszej </w:t>
      </w:r>
      <w:r w:rsidR="003B14D3" w:rsidRPr="00134B47">
        <w:rPr>
          <w:rFonts w:ascii="Times New Roman" w:hAnsi="Times New Roman" w:cs="Times New Roman"/>
          <w:b/>
          <w:bCs/>
          <w:sz w:val="28"/>
          <w:szCs w:val="28"/>
        </w:rPr>
        <w:t>ekspansji</w:t>
      </w:r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, który jednocześnie daje możliwość rozwoju na </w:t>
      </w:r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>nowych</w:t>
      </w:r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B14D3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i </w:t>
      </w:r>
      <w:r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perspektywicznych </w:t>
      </w:r>
      <w:r w:rsidR="003B14D3" w:rsidRPr="00134B47">
        <w:rPr>
          <w:rFonts w:ascii="Times New Roman" w:hAnsi="Times New Roman" w:cs="Times New Roman"/>
          <w:b/>
          <w:bCs/>
          <w:sz w:val="28"/>
          <w:szCs w:val="28"/>
        </w:rPr>
        <w:t>rynkach</w:t>
      </w:r>
      <w:r w:rsidR="004F3B37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4B47">
        <w:rPr>
          <w:rFonts w:ascii="Times New Roman" w:hAnsi="Times New Roman" w:cs="Times New Roman"/>
          <w:b/>
          <w:bCs/>
          <w:sz w:val="28"/>
          <w:szCs w:val="28"/>
        </w:rPr>
        <w:t>Azji i Pacyfiku.</w:t>
      </w:r>
    </w:p>
    <w:p w14:paraId="2EB97F89" w14:textId="5CC5D619" w:rsidR="00914ACA" w:rsidRPr="00134B47" w:rsidRDefault="00914ACA" w:rsidP="009D1E6F">
      <w:pPr>
        <w:jc w:val="both"/>
        <w:rPr>
          <w:rFonts w:ascii="Times New Roman" w:hAnsi="Times New Roman" w:cs="Times New Roman"/>
          <w:sz w:val="28"/>
          <w:szCs w:val="28"/>
        </w:rPr>
      </w:pPr>
      <w:r w:rsidRPr="00134B47">
        <w:rPr>
          <w:rFonts w:ascii="Times New Roman" w:hAnsi="Times New Roman" w:cs="Times New Roman"/>
          <w:sz w:val="28"/>
          <w:szCs w:val="28"/>
        </w:rPr>
        <w:t xml:space="preserve">Spółki </w:t>
      </w:r>
      <w:proofErr w:type="spellStart"/>
      <w:r w:rsidRPr="00134B47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Pr="00134B47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134B47">
        <w:rPr>
          <w:rFonts w:ascii="Times New Roman" w:hAnsi="Times New Roman" w:cs="Times New Roman"/>
          <w:sz w:val="28"/>
          <w:szCs w:val="28"/>
        </w:rPr>
        <w:t>Biodrug</w:t>
      </w:r>
      <w:proofErr w:type="spellEnd"/>
      <w:r w:rsidRPr="00134B47">
        <w:rPr>
          <w:rFonts w:ascii="Times New Roman" w:hAnsi="Times New Roman" w:cs="Times New Roman"/>
          <w:sz w:val="28"/>
          <w:szCs w:val="28"/>
        </w:rPr>
        <w:t xml:space="preserve"> zawarły aneks do wcześniejszej umowy</w:t>
      </w:r>
      <w:r w:rsidR="00106AC1" w:rsidRPr="00134B47">
        <w:rPr>
          <w:rFonts w:ascii="Times New Roman" w:hAnsi="Times New Roman" w:cs="Times New Roman"/>
          <w:sz w:val="28"/>
          <w:szCs w:val="28"/>
        </w:rPr>
        <w:t>,</w:t>
      </w:r>
      <w:r w:rsidRPr="00134B47">
        <w:rPr>
          <w:rFonts w:ascii="Times New Roman" w:hAnsi="Times New Roman" w:cs="Times New Roman"/>
          <w:sz w:val="28"/>
          <w:szCs w:val="28"/>
        </w:rPr>
        <w:t xml:space="preserve"> dotyczący rozwinięcia współpracy w zakresie rejestracji, dostawy oraz dystrybucji produktu leczniczego </w:t>
      </w:r>
      <w:proofErr w:type="spellStart"/>
      <w:r w:rsidRPr="00134B47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134B47">
        <w:rPr>
          <w:rFonts w:ascii="Times New Roman" w:hAnsi="Times New Roman" w:cs="Times New Roman"/>
          <w:sz w:val="28"/>
          <w:szCs w:val="28"/>
        </w:rPr>
        <w:t xml:space="preserve"> BCG 100 o dwa kolejne rynki</w:t>
      </w:r>
      <w:r w:rsidR="00AD0EA9" w:rsidRPr="00134B47">
        <w:rPr>
          <w:rFonts w:ascii="Times New Roman" w:hAnsi="Times New Roman" w:cs="Times New Roman"/>
          <w:sz w:val="28"/>
          <w:szCs w:val="28"/>
        </w:rPr>
        <w:t xml:space="preserve"> –</w:t>
      </w:r>
      <w:r w:rsidRPr="00134B47">
        <w:rPr>
          <w:rFonts w:ascii="Times New Roman" w:hAnsi="Times New Roman" w:cs="Times New Roman"/>
          <w:sz w:val="28"/>
          <w:szCs w:val="28"/>
        </w:rPr>
        <w:t xml:space="preserve"> Australię oraz Nową Zelandię. Dotychczas umowa dotyczyła czterech </w:t>
      </w:r>
      <w:r w:rsidR="00AD0EA9" w:rsidRPr="00134B47">
        <w:rPr>
          <w:rFonts w:ascii="Times New Roman" w:hAnsi="Times New Roman" w:cs="Times New Roman"/>
          <w:sz w:val="28"/>
          <w:szCs w:val="28"/>
        </w:rPr>
        <w:t xml:space="preserve">innych </w:t>
      </w:r>
      <w:r w:rsidRPr="00134B47">
        <w:rPr>
          <w:rFonts w:ascii="Times New Roman" w:hAnsi="Times New Roman" w:cs="Times New Roman"/>
          <w:sz w:val="28"/>
          <w:szCs w:val="28"/>
        </w:rPr>
        <w:t>krajów</w:t>
      </w:r>
      <w:r w:rsidR="00AD0EA9" w:rsidRPr="00134B47">
        <w:rPr>
          <w:rFonts w:ascii="Times New Roman" w:hAnsi="Times New Roman" w:cs="Times New Roman"/>
          <w:sz w:val="28"/>
          <w:szCs w:val="28"/>
        </w:rPr>
        <w:t xml:space="preserve"> (</w:t>
      </w:r>
      <w:r w:rsidRPr="00134B47">
        <w:rPr>
          <w:rFonts w:ascii="Times New Roman" w:hAnsi="Times New Roman" w:cs="Times New Roman"/>
          <w:sz w:val="28"/>
          <w:szCs w:val="28"/>
        </w:rPr>
        <w:t>Węgier, Austrii, Czech i Słowacji</w:t>
      </w:r>
      <w:r w:rsidR="00AD0EA9" w:rsidRPr="00134B47">
        <w:rPr>
          <w:rFonts w:ascii="Times New Roman" w:hAnsi="Times New Roman" w:cs="Times New Roman"/>
          <w:sz w:val="28"/>
          <w:szCs w:val="28"/>
        </w:rPr>
        <w:t>)</w:t>
      </w:r>
      <w:r w:rsidRPr="00134B4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82EAE1" w14:textId="3E8BA732" w:rsidR="00914ACA" w:rsidRPr="00134B47" w:rsidRDefault="00914ACA" w:rsidP="009D1E6F">
      <w:pPr>
        <w:jc w:val="both"/>
        <w:rPr>
          <w:rFonts w:ascii="Times New Roman" w:hAnsi="Times New Roman" w:cs="Times New Roman"/>
          <w:sz w:val="28"/>
          <w:szCs w:val="28"/>
        </w:rPr>
      </w:pPr>
      <w:r w:rsidRPr="00134B47">
        <w:rPr>
          <w:rFonts w:ascii="Times New Roman" w:hAnsi="Times New Roman" w:cs="Times New Roman"/>
          <w:sz w:val="28"/>
          <w:szCs w:val="28"/>
        </w:rPr>
        <w:t xml:space="preserve">Słowacka firma będzie odpowiedzialna za prowadzenie procesu </w:t>
      </w:r>
      <w:r w:rsidR="004F3B37" w:rsidRPr="00134B47">
        <w:rPr>
          <w:rFonts w:ascii="Times New Roman" w:hAnsi="Times New Roman" w:cs="Times New Roman"/>
          <w:sz w:val="28"/>
          <w:szCs w:val="28"/>
        </w:rPr>
        <w:t>rejestracji</w:t>
      </w:r>
      <w:r w:rsidRPr="00134B47">
        <w:rPr>
          <w:rFonts w:ascii="Times New Roman" w:hAnsi="Times New Roman" w:cs="Times New Roman"/>
          <w:sz w:val="28"/>
          <w:szCs w:val="28"/>
        </w:rPr>
        <w:t xml:space="preserve"> oraz wykonywanie obowiązków regulacyjnych związanych z dopuszczeniem produktu do obrotu na nowych rynkach, ponosząc związane z tym koszty. Jednocześnie ustalono, że łączna </w:t>
      </w:r>
      <w:r w:rsidR="007A7CEB">
        <w:rPr>
          <w:rFonts w:ascii="Times New Roman" w:hAnsi="Times New Roman" w:cs="Times New Roman"/>
          <w:sz w:val="28"/>
          <w:szCs w:val="28"/>
        </w:rPr>
        <w:t>prognozowana</w:t>
      </w:r>
      <w:r w:rsidRPr="00134B47">
        <w:rPr>
          <w:rFonts w:ascii="Times New Roman" w:hAnsi="Times New Roman" w:cs="Times New Roman"/>
          <w:sz w:val="28"/>
          <w:szCs w:val="28"/>
        </w:rPr>
        <w:t xml:space="preserve"> wartość zamówień dotycząca Australii oraz Nowej Zelandii, w pierwszych 5 latach od momentu uzyskania rejestracji, </w:t>
      </w:r>
      <w:r w:rsidR="003B14D3" w:rsidRPr="00134B47">
        <w:rPr>
          <w:rFonts w:ascii="Times New Roman" w:hAnsi="Times New Roman" w:cs="Times New Roman"/>
          <w:sz w:val="28"/>
          <w:szCs w:val="28"/>
        </w:rPr>
        <w:t>ma wynieść</w:t>
      </w:r>
      <w:r w:rsidRPr="00134B47">
        <w:rPr>
          <w:rFonts w:ascii="Times New Roman" w:hAnsi="Times New Roman" w:cs="Times New Roman"/>
          <w:sz w:val="28"/>
          <w:szCs w:val="28"/>
        </w:rPr>
        <w:t xml:space="preserve"> </w:t>
      </w:r>
      <w:r w:rsidR="007A7CEB">
        <w:rPr>
          <w:rFonts w:ascii="Times New Roman" w:hAnsi="Times New Roman" w:cs="Times New Roman"/>
          <w:sz w:val="28"/>
          <w:szCs w:val="28"/>
        </w:rPr>
        <w:t>4,5</w:t>
      </w:r>
      <w:r w:rsidRPr="00134B47">
        <w:rPr>
          <w:rFonts w:ascii="Times New Roman" w:hAnsi="Times New Roman" w:cs="Times New Roman"/>
          <w:sz w:val="28"/>
          <w:szCs w:val="28"/>
        </w:rPr>
        <w:t xml:space="preserve"> mln euro. </w:t>
      </w:r>
      <w:r w:rsidR="003B14D3" w:rsidRPr="00134B47">
        <w:rPr>
          <w:rFonts w:ascii="Times New Roman" w:hAnsi="Times New Roman" w:cs="Times New Roman"/>
          <w:sz w:val="28"/>
          <w:szCs w:val="28"/>
        </w:rPr>
        <w:t xml:space="preserve">W przypadku umowy z grudnia 2024 roku dotyczącej sprzedaży do Austrii, Węgier, Czech i na Słowację założono w podobnym okresie </w:t>
      </w:r>
      <w:r w:rsidR="004F3B37" w:rsidRPr="00134B47">
        <w:rPr>
          <w:rFonts w:ascii="Times New Roman" w:hAnsi="Times New Roman" w:cs="Times New Roman"/>
          <w:sz w:val="28"/>
          <w:szCs w:val="28"/>
        </w:rPr>
        <w:t xml:space="preserve">czasowym </w:t>
      </w:r>
      <w:r w:rsidR="00F32F1B">
        <w:rPr>
          <w:rFonts w:ascii="Times New Roman" w:hAnsi="Times New Roman" w:cs="Times New Roman"/>
          <w:sz w:val="28"/>
          <w:szCs w:val="28"/>
        </w:rPr>
        <w:t xml:space="preserve">minimalny </w:t>
      </w:r>
      <w:r w:rsidR="003B14D3" w:rsidRPr="00134B47">
        <w:rPr>
          <w:rFonts w:ascii="Times New Roman" w:hAnsi="Times New Roman" w:cs="Times New Roman"/>
          <w:sz w:val="28"/>
          <w:szCs w:val="28"/>
        </w:rPr>
        <w:t xml:space="preserve">poziom </w:t>
      </w:r>
      <w:r w:rsidR="00F32F1B">
        <w:rPr>
          <w:rFonts w:ascii="Times New Roman" w:hAnsi="Times New Roman" w:cs="Times New Roman"/>
          <w:sz w:val="28"/>
          <w:szCs w:val="28"/>
        </w:rPr>
        <w:t xml:space="preserve">zamówień na </w:t>
      </w:r>
      <w:r w:rsidR="003B14D3" w:rsidRPr="00134B47">
        <w:rPr>
          <w:rFonts w:ascii="Times New Roman" w:hAnsi="Times New Roman" w:cs="Times New Roman"/>
          <w:sz w:val="28"/>
          <w:szCs w:val="28"/>
        </w:rPr>
        <w:t xml:space="preserve">5,55 mln euro. </w:t>
      </w:r>
      <w:r w:rsidRPr="00134B47">
        <w:rPr>
          <w:rFonts w:ascii="Times New Roman" w:hAnsi="Times New Roman" w:cs="Times New Roman"/>
          <w:sz w:val="28"/>
          <w:szCs w:val="28"/>
        </w:rPr>
        <w:t xml:space="preserve">Prognoza </w:t>
      </w:r>
      <w:r w:rsidR="004F3B37" w:rsidRPr="00134B47">
        <w:rPr>
          <w:rFonts w:ascii="Times New Roman" w:hAnsi="Times New Roman" w:cs="Times New Roman"/>
          <w:sz w:val="28"/>
          <w:szCs w:val="28"/>
        </w:rPr>
        <w:t>przewiduje</w:t>
      </w:r>
      <w:r w:rsidRPr="00134B47">
        <w:rPr>
          <w:rFonts w:ascii="Times New Roman" w:hAnsi="Times New Roman" w:cs="Times New Roman"/>
          <w:sz w:val="28"/>
          <w:szCs w:val="28"/>
        </w:rPr>
        <w:t xml:space="preserve"> stopniowy wzrost poziomu </w:t>
      </w:r>
      <w:r w:rsidR="003E10BA" w:rsidRPr="00134B47">
        <w:rPr>
          <w:rFonts w:ascii="Times New Roman" w:hAnsi="Times New Roman" w:cs="Times New Roman"/>
          <w:sz w:val="28"/>
          <w:szCs w:val="28"/>
        </w:rPr>
        <w:t>sprzedaży</w:t>
      </w:r>
      <w:r w:rsidRPr="00134B47">
        <w:rPr>
          <w:rFonts w:ascii="Times New Roman" w:hAnsi="Times New Roman" w:cs="Times New Roman"/>
          <w:sz w:val="28"/>
          <w:szCs w:val="28"/>
        </w:rPr>
        <w:t xml:space="preserve"> na nowych rynkach w kolejnych latach obowiązywania umowy. </w:t>
      </w:r>
    </w:p>
    <w:p w14:paraId="3D817BC2" w14:textId="7BC20146" w:rsidR="00914ACA" w:rsidRPr="00134B47" w:rsidRDefault="003E10BA" w:rsidP="009D1E6F">
      <w:pPr>
        <w:jc w:val="both"/>
        <w:rPr>
          <w:rFonts w:ascii="Times New Roman" w:hAnsi="Times New Roman" w:cs="Times New Roman"/>
          <w:sz w:val="28"/>
          <w:szCs w:val="28"/>
        </w:rPr>
      </w:pPr>
      <w:r w:rsidRPr="00134B47">
        <w:rPr>
          <w:rFonts w:ascii="Times New Roman" w:hAnsi="Times New Roman" w:cs="Times New Roman"/>
          <w:sz w:val="28"/>
          <w:szCs w:val="28"/>
        </w:rPr>
        <w:t xml:space="preserve">Wejście z </w:t>
      </w:r>
      <w:proofErr w:type="spellStart"/>
      <w:r w:rsidRPr="00134B47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134B47">
        <w:rPr>
          <w:rFonts w:ascii="Times New Roman" w:hAnsi="Times New Roman" w:cs="Times New Roman"/>
          <w:sz w:val="28"/>
          <w:szCs w:val="28"/>
        </w:rPr>
        <w:t xml:space="preserve"> BCG do </w:t>
      </w:r>
      <w:r w:rsidR="00914ACA" w:rsidRPr="00134B47">
        <w:rPr>
          <w:rFonts w:ascii="Times New Roman" w:hAnsi="Times New Roman" w:cs="Times New Roman"/>
          <w:sz w:val="28"/>
          <w:szCs w:val="28"/>
        </w:rPr>
        <w:t xml:space="preserve">Australii i Nowej Zelandii ma dla </w:t>
      </w:r>
      <w:proofErr w:type="spellStart"/>
      <w:r w:rsidR="00914ACA" w:rsidRPr="00134B47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="00914ACA" w:rsidRPr="00134B47">
        <w:rPr>
          <w:rFonts w:ascii="Times New Roman" w:hAnsi="Times New Roman" w:cs="Times New Roman"/>
          <w:sz w:val="28"/>
          <w:szCs w:val="28"/>
        </w:rPr>
        <w:t xml:space="preserve"> szczególne znaczenie nie tylko z perspektywy biznesowej, ale również strategicznej. Są to jedne z najbardziej rozwiniętych i wymagających rynków farmaceutycznych na świecie, charakteryzujące się wysokimi standardami jakości</w:t>
      </w:r>
      <w:r w:rsidR="00AD0EA9" w:rsidRPr="00134B47">
        <w:rPr>
          <w:rFonts w:ascii="Times New Roman" w:hAnsi="Times New Roman" w:cs="Times New Roman"/>
          <w:sz w:val="28"/>
          <w:szCs w:val="28"/>
        </w:rPr>
        <w:t xml:space="preserve"> i </w:t>
      </w:r>
      <w:r w:rsidR="00914ACA" w:rsidRPr="00134B47">
        <w:rPr>
          <w:rFonts w:ascii="Times New Roman" w:hAnsi="Times New Roman" w:cs="Times New Roman"/>
          <w:sz w:val="28"/>
          <w:szCs w:val="28"/>
        </w:rPr>
        <w:t xml:space="preserve">bezpieczeństwa. </w:t>
      </w:r>
    </w:p>
    <w:p w14:paraId="08401485" w14:textId="215B4E96" w:rsidR="003E10BA" w:rsidRPr="00134B47" w:rsidRDefault="003E10BA" w:rsidP="009D1E6F">
      <w:pPr>
        <w:jc w:val="both"/>
        <w:rPr>
          <w:rFonts w:ascii="Times New Roman" w:hAnsi="Times New Roman" w:cs="Times New Roman"/>
          <w:sz w:val="28"/>
          <w:szCs w:val="28"/>
        </w:rPr>
      </w:pPr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- Uzyskanie dostępu do tych rynków stanowi potwierdzenie wysokiej jakości naszego produktu </w:t>
      </w:r>
      <w:proofErr w:type="spellStart"/>
      <w:r w:rsidRPr="00134B47">
        <w:rPr>
          <w:rFonts w:ascii="Times New Roman" w:hAnsi="Times New Roman" w:cs="Times New Roman"/>
          <w:i/>
          <w:iCs/>
          <w:sz w:val="28"/>
          <w:szCs w:val="28"/>
        </w:rPr>
        <w:t>Onko</w:t>
      </w:r>
      <w:proofErr w:type="spellEnd"/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 BCG 100 oraz zdolności naszej organizacji do spełniania rygorystycznych wymagań regulacyjnych. Do tego obecność w Australii i Nowej Zelandii wzmocni międzynarodową wiarygodność firmy i zwiększy rozpoznawalność marki na globalnym rynku farmaceutycznym. Dodatkowo </w:t>
      </w:r>
      <w:r w:rsidR="003151BA" w:rsidRPr="00134B47">
        <w:rPr>
          <w:rFonts w:ascii="Times New Roman" w:hAnsi="Times New Roman" w:cs="Times New Roman"/>
          <w:i/>
          <w:iCs/>
          <w:sz w:val="28"/>
          <w:szCs w:val="28"/>
        </w:rPr>
        <w:t>kraje</w:t>
      </w:r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 te stanowią ważny punkt odniesienia dla dalszej ekspansji w regionie Azji i Pacyfiku, otwierając możliwości rozwoju na kolejnych perspektywicznych kierunkach. Dlatego jest to nie tylko szansa na wzrost sprzedaży, ale także istotny krok w budowaniu pozycji globalnego dostawcy produktów leczniczych –</w:t>
      </w:r>
      <w:r w:rsidRPr="00134B47">
        <w:rPr>
          <w:rFonts w:ascii="Times New Roman" w:hAnsi="Times New Roman" w:cs="Times New Roman"/>
          <w:sz w:val="28"/>
          <w:szCs w:val="28"/>
        </w:rPr>
        <w:t xml:space="preserve"> podkreśla</w:t>
      </w:r>
      <w:r w:rsidR="00106AC1" w:rsidRPr="00134B47">
        <w:rPr>
          <w:rFonts w:ascii="Times New Roman" w:hAnsi="Times New Roman" w:cs="Times New Roman"/>
          <w:sz w:val="28"/>
          <w:szCs w:val="28"/>
        </w:rPr>
        <w:t xml:space="preserve"> </w:t>
      </w:r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Magdalena Sierocka, Dyrektor Exportu </w:t>
      </w:r>
      <w:proofErr w:type="spellStart"/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>Synthaverse</w:t>
      </w:r>
      <w:proofErr w:type="spellEnd"/>
      <w:r w:rsidR="00106AC1" w:rsidRPr="00134B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5B0FD3F5" w14:textId="142258FE" w:rsidR="003151BA" w:rsidRDefault="003151BA" w:rsidP="009D1E6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- Rozwinięcie współpracy ze spółką </w:t>
      </w:r>
      <w:proofErr w:type="spellStart"/>
      <w:r w:rsidRPr="00134B47">
        <w:rPr>
          <w:rFonts w:ascii="Times New Roman" w:hAnsi="Times New Roman" w:cs="Times New Roman"/>
          <w:i/>
          <w:iCs/>
          <w:sz w:val="28"/>
          <w:szCs w:val="28"/>
        </w:rPr>
        <w:t>Biodrug</w:t>
      </w:r>
      <w:proofErr w:type="spellEnd"/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 to kolejny etap realizacji strategii rozwoju sprzedaży eksportowej produktu </w:t>
      </w:r>
      <w:proofErr w:type="spellStart"/>
      <w:r w:rsidR="00C23D58" w:rsidRPr="00134B47">
        <w:rPr>
          <w:rFonts w:ascii="Times New Roman" w:hAnsi="Times New Roman" w:cs="Times New Roman"/>
          <w:i/>
          <w:iCs/>
          <w:sz w:val="28"/>
          <w:szCs w:val="28"/>
        </w:rPr>
        <w:t>Onko</w:t>
      </w:r>
      <w:proofErr w:type="spellEnd"/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 BCG oraz dalszej dywersyfikacji </w:t>
      </w:r>
      <w:r w:rsidR="00AD0EA9" w:rsidRPr="00134B47">
        <w:rPr>
          <w:rFonts w:ascii="Times New Roman" w:hAnsi="Times New Roman" w:cs="Times New Roman"/>
          <w:i/>
          <w:iCs/>
          <w:sz w:val="28"/>
          <w:szCs w:val="28"/>
        </w:rPr>
        <w:t>działalności pod kątem geograficznym</w:t>
      </w:r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C23D58" w:rsidRPr="00134B47">
        <w:rPr>
          <w:rFonts w:ascii="Times New Roman" w:hAnsi="Times New Roman" w:cs="Times New Roman"/>
          <w:i/>
          <w:iCs/>
          <w:sz w:val="28"/>
          <w:szCs w:val="28"/>
        </w:rPr>
        <w:t>Prowadzenie</w:t>
      </w:r>
      <w:r w:rsidRPr="00134B47">
        <w:rPr>
          <w:rFonts w:ascii="Times New Roman" w:hAnsi="Times New Roman" w:cs="Times New Roman"/>
          <w:i/>
          <w:iCs/>
          <w:sz w:val="28"/>
          <w:szCs w:val="28"/>
        </w:rPr>
        <w:t xml:space="preserve"> tak znaczącego projektu wspólnie ze słowacką firmą, naszym wieloletnim i sprawdzonym partnerem, znacząco zwiększa prawdopodobieństwo jego sukcesu. Rozszerzenie współpracy na nowe rynki jest dowodem wzajemnego zaufania oraz potwierdzeniem, że nasze relacje biznesowe mają długoterminowy i strategiczny charakter</w:t>
      </w:r>
      <w:r w:rsidR="00106AC1" w:rsidRPr="00134B47">
        <w:rPr>
          <w:rFonts w:ascii="Times New Roman" w:hAnsi="Times New Roman" w:cs="Times New Roman"/>
          <w:sz w:val="28"/>
          <w:szCs w:val="28"/>
        </w:rPr>
        <w:t xml:space="preserve"> – podsumowuje </w:t>
      </w:r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 xml:space="preserve">Artur Chodkowski, Prezes Zarządu </w:t>
      </w:r>
      <w:proofErr w:type="spellStart"/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>Synthaverse</w:t>
      </w:r>
      <w:proofErr w:type="spellEnd"/>
      <w:r w:rsidR="00106AC1" w:rsidRPr="00134B4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A71606" w14:textId="77777777" w:rsidR="00AC289A" w:rsidRPr="00AC289A" w:rsidRDefault="00AC289A" w:rsidP="00AC289A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C289A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Pr="00AC289A">
        <w:rPr>
          <w:rFonts w:ascii="Times New Roman" w:hAnsi="Times New Roman" w:cs="Times New Roman"/>
          <w:sz w:val="28"/>
          <w:szCs w:val="28"/>
        </w:rPr>
        <w:t xml:space="preserve"> konsekwentnie realizuje strategię ekspansji na kolejne rynki z </w:t>
      </w:r>
      <w:proofErr w:type="spellStart"/>
      <w:r w:rsidRPr="00AC289A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AC289A">
        <w:rPr>
          <w:rFonts w:ascii="Times New Roman" w:hAnsi="Times New Roman" w:cs="Times New Roman"/>
          <w:sz w:val="28"/>
          <w:szCs w:val="28"/>
        </w:rPr>
        <w:t xml:space="preserve"> BCG, jednym z kluczowych produktów, który chce rozwijać. W maju br. Spółka otrzymała informację o rejestracji produktu na terytorium Ekwadoru. Rejestracja ta stanowi istotny etap realizacji strategii międzynarodowego rozwoju na rynki Ameryki Południowej do takich krajów jak: Brazylia, Argentyna, Chile, Kolumbia, Peru oraz Paragwaj. Również w maju Spółka otrzymała rejestrację produktu </w:t>
      </w:r>
      <w:proofErr w:type="spellStart"/>
      <w:r w:rsidRPr="00AC289A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AC289A">
        <w:rPr>
          <w:rFonts w:ascii="Times New Roman" w:hAnsi="Times New Roman" w:cs="Times New Roman"/>
          <w:sz w:val="28"/>
          <w:szCs w:val="28"/>
        </w:rPr>
        <w:t xml:space="preserve"> BCG 100 w Serbii. Natomiast w czerwcu okazało się, że </w:t>
      </w:r>
      <w:proofErr w:type="spellStart"/>
      <w:r w:rsidRPr="00AC289A">
        <w:rPr>
          <w:rFonts w:ascii="Times New Roman" w:hAnsi="Times New Roman" w:cs="Times New Roman"/>
          <w:sz w:val="28"/>
          <w:szCs w:val="28"/>
        </w:rPr>
        <w:t>Synthaverse</w:t>
      </w:r>
      <w:proofErr w:type="spellEnd"/>
      <w:r w:rsidRPr="00AC289A">
        <w:rPr>
          <w:rFonts w:ascii="Times New Roman" w:hAnsi="Times New Roman" w:cs="Times New Roman"/>
          <w:sz w:val="28"/>
          <w:szCs w:val="28"/>
        </w:rPr>
        <w:t xml:space="preserve"> będzie współpracował z podmiotem należącym do indyjskiej grupy farmaceutycznej MSN Laboratories, w zakresie rejestracji, dostawy i dystrybucji produktu leczniczego </w:t>
      </w:r>
      <w:proofErr w:type="spellStart"/>
      <w:r w:rsidRPr="00AC289A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AC289A">
        <w:rPr>
          <w:rFonts w:ascii="Times New Roman" w:hAnsi="Times New Roman" w:cs="Times New Roman"/>
          <w:sz w:val="28"/>
          <w:szCs w:val="28"/>
        </w:rPr>
        <w:t xml:space="preserve"> BCG 100 do Hiszpanii. Obecnie produkt leczniczy </w:t>
      </w:r>
      <w:proofErr w:type="spellStart"/>
      <w:r w:rsidRPr="00AC289A">
        <w:rPr>
          <w:rFonts w:ascii="Times New Roman" w:hAnsi="Times New Roman" w:cs="Times New Roman"/>
          <w:sz w:val="28"/>
          <w:szCs w:val="28"/>
        </w:rPr>
        <w:t>Onko</w:t>
      </w:r>
      <w:proofErr w:type="spellEnd"/>
      <w:r w:rsidRPr="00AC289A">
        <w:rPr>
          <w:rFonts w:ascii="Times New Roman" w:hAnsi="Times New Roman" w:cs="Times New Roman"/>
          <w:sz w:val="28"/>
          <w:szCs w:val="28"/>
        </w:rPr>
        <w:t xml:space="preserve"> BCG zarejestrowany jest we Francji, Niemczech, Szwajcarii, Rumunii, Ukrainie, Urugwaju, Bośni i Hercegowinie, Holandii, na Malcie oraz w Ekwadorze i Serbii. </w:t>
      </w:r>
    </w:p>
    <w:p w14:paraId="3DEBFB83" w14:textId="6EB424CF" w:rsidR="00106AC1" w:rsidRPr="00134B47" w:rsidRDefault="00106AC1" w:rsidP="009D1E6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6AC1" w:rsidRPr="00134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126"/>
    <w:rsid w:val="000A0810"/>
    <w:rsid w:val="000B48A6"/>
    <w:rsid w:val="000E5147"/>
    <w:rsid w:val="000F6EA2"/>
    <w:rsid w:val="00106AC1"/>
    <w:rsid w:val="00131FD8"/>
    <w:rsid w:val="00134B47"/>
    <w:rsid w:val="00142DD5"/>
    <w:rsid w:val="00197F92"/>
    <w:rsid w:val="001A2DF3"/>
    <w:rsid w:val="001B0164"/>
    <w:rsid w:val="0020447B"/>
    <w:rsid w:val="00231BEB"/>
    <w:rsid w:val="002852CF"/>
    <w:rsid w:val="003151BA"/>
    <w:rsid w:val="00391015"/>
    <w:rsid w:val="003B14D3"/>
    <w:rsid w:val="003E10BA"/>
    <w:rsid w:val="00410126"/>
    <w:rsid w:val="004F3B37"/>
    <w:rsid w:val="00617924"/>
    <w:rsid w:val="00753F0E"/>
    <w:rsid w:val="00765C58"/>
    <w:rsid w:val="007717E0"/>
    <w:rsid w:val="007A7CEB"/>
    <w:rsid w:val="0080484C"/>
    <w:rsid w:val="008A5ADC"/>
    <w:rsid w:val="00914ACA"/>
    <w:rsid w:val="009D1E6F"/>
    <w:rsid w:val="009F2DB2"/>
    <w:rsid w:val="00A41A01"/>
    <w:rsid w:val="00A56C80"/>
    <w:rsid w:val="00AC289A"/>
    <w:rsid w:val="00AD0EA9"/>
    <w:rsid w:val="00B977B1"/>
    <w:rsid w:val="00BF086D"/>
    <w:rsid w:val="00C23D58"/>
    <w:rsid w:val="00C64D25"/>
    <w:rsid w:val="00D4128F"/>
    <w:rsid w:val="00DB37EC"/>
    <w:rsid w:val="00E00E6A"/>
    <w:rsid w:val="00E728B7"/>
    <w:rsid w:val="00EF58BD"/>
    <w:rsid w:val="00F16AF2"/>
    <w:rsid w:val="00F2411E"/>
    <w:rsid w:val="00F32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C3A9C"/>
  <w15:chartTrackingRefBased/>
  <w15:docId w15:val="{B811481A-A528-4E20-B5D1-6E4ECB57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01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01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01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01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01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01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01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01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01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1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01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01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012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012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01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01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01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01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01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01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01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01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01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01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01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012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01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012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01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27</cp:revision>
  <dcterms:created xsi:type="dcterms:W3CDTF">2026-07-09T19:37:00Z</dcterms:created>
  <dcterms:modified xsi:type="dcterms:W3CDTF">2026-07-13T10:20:00Z</dcterms:modified>
</cp:coreProperties>
</file>