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3D0E4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4DF8">
        <w:rPr>
          <w:rFonts w:ascii="Times New Roman" w:hAnsi="Times New Roman" w:cs="Times New Roman"/>
          <w:sz w:val="28"/>
          <w:szCs w:val="28"/>
          <w:u w:val="single"/>
        </w:rPr>
        <w:t xml:space="preserve">Informacja prasowa </w:t>
      </w:r>
    </w:p>
    <w:p w14:paraId="35218EB6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6CB009" w14:textId="77777777" w:rsidR="00154DF8" w:rsidRPr="00154DF8" w:rsidRDefault="00154DF8" w:rsidP="00154D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DF8">
        <w:rPr>
          <w:rFonts w:ascii="Times New Roman" w:hAnsi="Times New Roman" w:cs="Times New Roman"/>
          <w:b/>
          <w:bCs/>
          <w:sz w:val="28"/>
          <w:szCs w:val="28"/>
        </w:rPr>
        <w:t>Grupa CDRL skokowo poprawia zyski i wraca do wypłaty dywidendy</w:t>
      </w:r>
    </w:p>
    <w:p w14:paraId="5BAA33E4" w14:textId="77777777" w:rsidR="00154DF8" w:rsidRPr="00154DF8" w:rsidRDefault="00154DF8" w:rsidP="00154D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DF8">
        <w:rPr>
          <w:rFonts w:ascii="Times New Roman" w:hAnsi="Times New Roman" w:cs="Times New Roman"/>
          <w:b/>
          <w:bCs/>
          <w:sz w:val="28"/>
          <w:szCs w:val="28"/>
        </w:rPr>
        <w:t>Grupa CDRL, właściciel marek odzieżowych Coccodrillo, Lemon Explore, Mokida Petit Bijou i Broel, zamknęła I półrocze 2026 roku blisko 6-krotnym wzrostem wyniku EBITDA, zwiększając przychody ze sprzedaży o ponad 6 proc. Zarząd chce w kolejnych kwartałach utrzymać trend dynamicznej poprawy wyników, a już we wrześniu Spółka wypłaci dywidendę – 4,5 mln zł.</w:t>
      </w:r>
    </w:p>
    <w:p w14:paraId="2B959DE0" w14:textId="77777777" w:rsidR="00154DF8" w:rsidRPr="00154DF8" w:rsidRDefault="00154DF8" w:rsidP="00154D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D6715E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 xml:space="preserve">Grupa CDRL kontynuuje dynamiczną poprawę wyników. W I półroczu br. osiągnęła 6,4 mln zł na poziomie zysku ze sprzedaży wobec straty w wysokości -3,1 mln zł zanotowanej rok wcześniej. EBIT za minione półrocze sięgnął 6,5 mln zł, a EBITDA zbliżyła się do 10,8 mln zł. W analogicznym okresie ubiegłego roku Grupa zanotowała odpowiednio -3,8 mln zł straty i 1,9 mln zł zysku. Marża ze sprzedaży wzrosła z 55,1 proc. do 59,3 proc, a na poziomie EBITDA z 1,54 proc. do 8,42 proc. Grupa wypracowała też zysk netto w wysokości 1,7 mln zł (-1,9 mln zł straty rok wcześniej). Skokowej poprawie wyników towarzyszył wzrost przychodów (+6,1 proc. r/r) do poziomu 128,2 mln zł. </w:t>
      </w:r>
    </w:p>
    <w:p w14:paraId="2EC7F891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>Jednocześnie warto dodać, że na koniec I półrocza 2026 roku dług netto Grupy wyniósł 24,4 mln zł i zmniejszył się o blisko 10 mln zł w ujęciu rocznym. Natomiast wskaźnik dług netto/EBITDA za ostatnie 12 miesięcy obniżył się do poziomu 0,94 z 2,68 na koniec czerwca 2025 roku i 1,50 na koniec 2025 roku. Osiągnięty poziom wskaźnika potwierdza istotne wzmocnienie bezpieczeństwa finansowego Grupy oraz jej zdolności do dalszego rozwoju przy zachowaniu bezpiecznego poziomu zadłużenia.</w:t>
      </w:r>
    </w:p>
    <w:p w14:paraId="4897AF36" w14:textId="323DDB9C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>Na poziomie jednostkowym w I półroczu br. przychody wyniosły blisko 124 mln zł (+7,4 proc. r/r), wynik EBITDA sięgnął 8,1 mln zł (2,5 mln zł rok wcześniej), a zysk netto wzrósł do 3,3 mln zł. Marża na sprzedaży sięgnęła 57,73 proc. (53,70 proc. w I półroczu 2025 r.).</w:t>
      </w:r>
    </w:p>
    <w:p w14:paraId="7E2990F7" w14:textId="77777777" w:rsidR="00154DF8" w:rsidRPr="00154DF8" w:rsidRDefault="00154DF8" w:rsidP="00154DF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54DF8">
        <w:rPr>
          <w:rFonts w:ascii="Times New Roman" w:hAnsi="Times New Roman" w:cs="Times New Roman"/>
          <w:i/>
          <w:iCs/>
          <w:sz w:val="28"/>
          <w:szCs w:val="28"/>
        </w:rPr>
        <w:t xml:space="preserve">- Pierwsze półrocze cechowało się bardzo silnym wzrostem rentowności. Wpływ na to miało m.in. wcześniejsze pozbycie się zapasów nagromadzonych od czasów pandemii, co w konsekwencji skutkowało większą sprzedażą asortymentu z bieżącej kolekcji, przynoszącą wyższe marże. Jednocześnie pozytywny odbiór nowych kolekcji współgrał z dobrym przyjęciem nowych kategorii produktowych. </w:t>
      </w:r>
    </w:p>
    <w:p w14:paraId="1BAB5895" w14:textId="77777777" w:rsidR="00154DF8" w:rsidRPr="00154DF8" w:rsidRDefault="00154DF8" w:rsidP="00154D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DF8">
        <w:rPr>
          <w:rFonts w:ascii="Times New Roman" w:hAnsi="Times New Roman" w:cs="Times New Roman"/>
          <w:i/>
          <w:iCs/>
          <w:sz w:val="28"/>
          <w:szCs w:val="28"/>
        </w:rPr>
        <w:t xml:space="preserve">Ostatnie kwartały pokazują, że na trwałe wróciliśmy na wzrostową ścieżkę. Oczekiwane efekty przynosi zamykanie nierentownych sklepów w centrach handlowych. Jednocześnie coraz mocniej stawiamy na rozwój kanału e-commerce, który pozwala nam osiągać wyższe marże. Nie bez znaczenia jest też systematyczne rozszerzanie oferty produktowej. W kolejnych kwartałach chcemy utrzymać trend dynamicznej poprawy wyników </w:t>
      </w:r>
      <w:r w:rsidRPr="00154DF8">
        <w:rPr>
          <w:rFonts w:ascii="Times New Roman" w:hAnsi="Times New Roman" w:cs="Times New Roman"/>
          <w:sz w:val="28"/>
          <w:szCs w:val="28"/>
        </w:rPr>
        <w:t xml:space="preserve">– komentuje </w:t>
      </w:r>
      <w:r w:rsidRPr="00154DF8">
        <w:rPr>
          <w:rFonts w:ascii="Times New Roman" w:hAnsi="Times New Roman" w:cs="Times New Roman"/>
          <w:b/>
          <w:bCs/>
          <w:sz w:val="28"/>
          <w:szCs w:val="28"/>
        </w:rPr>
        <w:t>Marek Dworczak, Prezes Zarządu CDRL SA.</w:t>
      </w:r>
    </w:p>
    <w:p w14:paraId="1772018E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>Jednym z kluczowych kierunków rozwoju CDRL jest kanał e-commerce. Grupa rozwija zarówno sklep internetowy Coccodrillo, dostępny w polskiej wersji językowej oraz na rynkach zagranicznych, jak i platformę mokida.com. Również inwestuje w nowoczesne technologie, które usprawniają proces zakupowy i podnoszą komfort korzystania z oferty online. W I półroczu 2026 roku rozwijana była między innymi aplikacja mobilna Coccodrillo, dostępna na rynkach zagranicznych. Istotnym elementem rozwoju e-commerce pozostaje także podnoszenie standardu obsługi klienta poza Polską. W minionym półroczu uruchomiono chatbota ZOWIE na rynku czeskim i słowackim oraz telefoniczną obsługę klienta na rynkach czeskim, słowackim i rumuńskim.</w:t>
      </w:r>
    </w:p>
    <w:p w14:paraId="0BB26B9F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>Istotnym elementem rozwoju sprzedaży internetowej pozostaje obecność produktów Grupy na platformach marketplace, co stanowi ważny element dywersyfikacji sprzedaży i zwiększania dostępności produktów Grupy zarówno w Polsce, jak i na rynkach zagranicznych. Ich liczba systematycznie rośnie, rozszerzając zasięg marek CDRL i umożliwiając dotarcie do klientów korzystających z różnych platform zakupowych. Produkty CDRL są obecnie dostępne na 11 rynkach, a po uwzględnieniu krajów obsługiwanych przez spółkę Answear ich liczba wzrasta do 16.</w:t>
      </w:r>
    </w:p>
    <w:p w14:paraId="56D76DBB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>Grupa konsekwentnie optymalizuje sieć sprzedaży detalicznej w Polsce i za granicą, ograniczając obecność w nierentownych lokalizacjach, w szczególności w centrach handlowych. Z drugiej strony koncentruje się na sklepach franczyzowych oraz sklepach o charakterze multibrandowym, w których oferowany jest również asortyment skierowany do innych grup docelowych. W I półroczu 2026 roku w Polsce otwarto 10 nowych sklepów franczyzowych marki Coccodrillo. Podejmowane działania mają na celu nie tylko rozwój sieci, ale przede wszystkim poprawę efektywności poszczególnych lokalizacji i rentowności sprzedaży stacjonarnej.</w:t>
      </w:r>
    </w:p>
    <w:p w14:paraId="219976E7" w14:textId="77777777" w:rsidR="00154DF8" w:rsidRPr="00154DF8" w:rsidRDefault="00154DF8" w:rsidP="00154DF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>Ważnym elementem rozwoju jest też wprowadzanie nowych kategorii produktowych, które uzupełniają dotychczasową ofertę i pozwalają poszerzać zakres produktów dostępnych dla klientów. W ramach marki MOKIDA dostępne są już zabawki dla najmłodszych z serii MOKIDA TOYS, akcesoria do szkoły w ramach linii MOKIDA SCHOOL oraz zestawy do rozszerzania diety dzieci MOKIDA YUMMY. Najnowszym rozszerzeniem oferty są artykuły do pielęgnacji z serii MOKIDA BEAUTY.</w:t>
      </w:r>
    </w:p>
    <w:p w14:paraId="177338D6" w14:textId="77777777" w:rsidR="00154DF8" w:rsidRPr="00154DF8" w:rsidRDefault="00154DF8" w:rsidP="00154D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DF8">
        <w:rPr>
          <w:rFonts w:ascii="Times New Roman" w:hAnsi="Times New Roman" w:cs="Times New Roman"/>
          <w:i/>
          <w:iCs/>
          <w:sz w:val="28"/>
          <w:szCs w:val="28"/>
        </w:rPr>
        <w:t xml:space="preserve">- Wyniki osiągnięte w minionym półroczu – powrót do dodatniej rentowności operacyjnej, znaczący wzrost EBITDA oraz redukcja długu netto – wskazują na konsekwentną poprawę efektywności prowadzonej działalności oraz potwierdzają skuteczność prowadzonych działań operacyjnych. Zarząd będzie koncentrował się na dalszym wzmacnianiu rentowności, efektywnym zarządzaniu kosztami i kapitałem obrotowym oraz utrzymaniu bezpiecznej struktury finansowania Grupy </w:t>
      </w:r>
      <w:r w:rsidRPr="00154DF8">
        <w:rPr>
          <w:rFonts w:ascii="Times New Roman" w:hAnsi="Times New Roman" w:cs="Times New Roman"/>
          <w:sz w:val="28"/>
          <w:szCs w:val="28"/>
        </w:rPr>
        <w:t xml:space="preserve">– podkreśla </w:t>
      </w:r>
      <w:r w:rsidRPr="00154DF8">
        <w:rPr>
          <w:rFonts w:ascii="Times New Roman" w:hAnsi="Times New Roman" w:cs="Times New Roman"/>
          <w:b/>
          <w:bCs/>
          <w:sz w:val="28"/>
          <w:szCs w:val="28"/>
        </w:rPr>
        <w:t xml:space="preserve">Tomasz Przybyła, Wiceprezes Zarządu CDRL SA. </w:t>
      </w:r>
    </w:p>
    <w:p w14:paraId="445C23A0" w14:textId="1391F494" w:rsidR="00E438C4" w:rsidRPr="009714D5" w:rsidRDefault="00154DF8" w:rsidP="002C452F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8">
        <w:rPr>
          <w:rFonts w:ascii="Times New Roman" w:hAnsi="Times New Roman" w:cs="Times New Roman"/>
          <w:sz w:val="28"/>
          <w:szCs w:val="28"/>
        </w:rPr>
        <w:t>Poprawiające się wyniki sprawiają, że Spółka wraca do dzielenia się zyskiem z akcjonariuszami. W tym tygodniu NWZA CDRL zdecydowało o wypłacie dywidendy z kapitału zapasowego w kwocie 4,51 mln zł, co stanowi 0,75 zł dywidendy na jedną akcję. Dzień dywidendy wyznaczono na 24 sierpnia, a termin wypłaty dywidendy na 1 września 2026 roku. Wypłatą zostaną objęte wszystkie 6 012 522 akcje CDRL.</w:t>
      </w:r>
    </w:p>
    <w:sectPr w:rsidR="00E438C4" w:rsidRPr="00971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AB5"/>
    <w:rsid w:val="00023437"/>
    <w:rsid w:val="000E5147"/>
    <w:rsid w:val="00154DF8"/>
    <w:rsid w:val="001B121D"/>
    <w:rsid w:val="00241C41"/>
    <w:rsid w:val="00252185"/>
    <w:rsid w:val="002C1249"/>
    <w:rsid w:val="002C452F"/>
    <w:rsid w:val="00407597"/>
    <w:rsid w:val="004F61F0"/>
    <w:rsid w:val="0051477B"/>
    <w:rsid w:val="00561857"/>
    <w:rsid w:val="00567E6C"/>
    <w:rsid w:val="00654AB5"/>
    <w:rsid w:val="006A0BEB"/>
    <w:rsid w:val="006E1765"/>
    <w:rsid w:val="00740548"/>
    <w:rsid w:val="008A5ADC"/>
    <w:rsid w:val="008B499F"/>
    <w:rsid w:val="009714D5"/>
    <w:rsid w:val="0098617A"/>
    <w:rsid w:val="009A4AE6"/>
    <w:rsid w:val="00A56FD4"/>
    <w:rsid w:val="00A75C1C"/>
    <w:rsid w:val="00A901FE"/>
    <w:rsid w:val="00AA4DB4"/>
    <w:rsid w:val="00B233C6"/>
    <w:rsid w:val="00D17E2F"/>
    <w:rsid w:val="00D46E27"/>
    <w:rsid w:val="00E4229F"/>
    <w:rsid w:val="00E438C4"/>
    <w:rsid w:val="00EF7977"/>
    <w:rsid w:val="00F2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698D2"/>
  <w15:chartTrackingRefBased/>
  <w15:docId w15:val="{A42B8479-E9B8-4A4F-9D43-9BEF12DC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4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4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4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4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4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4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4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4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4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4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4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4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4AB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4AB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4AB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4AB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4AB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4AB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4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4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4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4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4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4A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4A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4A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4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4A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4A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845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14</cp:revision>
  <dcterms:created xsi:type="dcterms:W3CDTF">2026-08-20T09:03:00Z</dcterms:created>
  <dcterms:modified xsi:type="dcterms:W3CDTF">2026-08-21T04:40:00Z</dcterms:modified>
</cp:coreProperties>
</file>