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34D2B3" w14:textId="77777777" w:rsidR="00711A31" w:rsidRDefault="00711A31" w:rsidP="00711A31">
      <w:pPr>
        <w:rPr>
          <w:rFonts w:ascii="Times New Roman" w:hAnsi="Times New Roman" w:cs="Times New Roman"/>
        </w:rPr>
      </w:pPr>
    </w:p>
    <w:p w14:paraId="58842253" w14:textId="77777777" w:rsidR="00711A31" w:rsidRDefault="00711A31" w:rsidP="00711A31">
      <w:pPr>
        <w:rPr>
          <w:rFonts w:ascii="Times New Roman" w:hAnsi="Times New Roman" w:cs="Times New Roman"/>
          <w:u w:val="single"/>
        </w:rPr>
      </w:pPr>
      <w:r>
        <w:rPr>
          <w:rFonts w:ascii="Times New Roman" w:hAnsi="Times New Roman" w:cs="Times New Roman"/>
          <w:u w:val="single"/>
        </w:rPr>
        <w:t>Informacja prasowa</w:t>
      </w:r>
    </w:p>
    <w:p w14:paraId="6025A962" w14:textId="77777777" w:rsidR="00711A31" w:rsidRDefault="00711A31" w:rsidP="00711A31">
      <w:pPr>
        <w:rPr>
          <w:rFonts w:ascii="Times New Roman" w:hAnsi="Times New Roman" w:cs="Times New Roman"/>
          <w:b/>
          <w:bCs/>
        </w:rPr>
      </w:pPr>
      <w:proofErr w:type="spellStart"/>
      <w:r>
        <w:rPr>
          <w:rFonts w:ascii="Times New Roman" w:hAnsi="Times New Roman" w:cs="Times New Roman"/>
          <w:b/>
          <w:bCs/>
        </w:rPr>
        <w:t>Synthaverse</w:t>
      </w:r>
      <w:proofErr w:type="spellEnd"/>
      <w:r>
        <w:rPr>
          <w:rFonts w:ascii="Times New Roman" w:hAnsi="Times New Roman" w:cs="Times New Roman"/>
          <w:b/>
          <w:bCs/>
        </w:rPr>
        <w:t xml:space="preserve"> z finansowaniem ARP na 45 mln zł. To kluczowy element refinansowania zadłużenia</w:t>
      </w:r>
    </w:p>
    <w:p w14:paraId="1FE00FA3" w14:textId="77777777" w:rsidR="00711A31" w:rsidRDefault="00711A31" w:rsidP="00711A31">
      <w:pPr>
        <w:rPr>
          <w:rFonts w:ascii="Times New Roman" w:hAnsi="Times New Roman" w:cs="Times New Roman"/>
          <w:b/>
          <w:bCs/>
        </w:rPr>
      </w:pPr>
      <w:r>
        <w:rPr>
          <w:rFonts w:ascii="Times New Roman" w:hAnsi="Times New Roman" w:cs="Times New Roman"/>
          <w:b/>
          <w:bCs/>
        </w:rPr>
        <w:t>Polski producent leków uzyska pożyczkę od Agencji Rozwoju Przemysłu (ARP) z przeznaczeniem na refinansowanie zadłużenia. Jest to kluczowy element planowanych zmian w strukturze finansowania Spółki, które mają przynieść oszczędności szacowane na około 5,32 mln zł rocznie, poprawić płynność finansową oraz stworzyć korzystniejsze warunki do dalszego rozwoju działalności.</w:t>
      </w:r>
    </w:p>
    <w:p w14:paraId="71C49D6E" w14:textId="77777777" w:rsidR="00711A31" w:rsidRDefault="00711A31" w:rsidP="00711A31">
      <w:pPr>
        <w:rPr>
          <w:rFonts w:ascii="Times New Roman" w:hAnsi="Times New Roman" w:cs="Times New Roman"/>
        </w:rPr>
      </w:pPr>
      <w:proofErr w:type="spellStart"/>
      <w:r>
        <w:rPr>
          <w:rFonts w:ascii="Times New Roman" w:hAnsi="Times New Roman" w:cs="Times New Roman"/>
        </w:rPr>
        <w:t>Synthaverse</w:t>
      </w:r>
      <w:proofErr w:type="spellEnd"/>
      <w:r>
        <w:rPr>
          <w:rFonts w:ascii="Times New Roman" w:hAnsi="Times New Roman" w:cs="Times New Roman"/>
        </w:rPr>
        <w:t xml:space="preserve"> otrzymał wiążące potwierdzenie udzielenia przez Agencję Rozwoju Przemysłu finansowania w wysokości 45 mln zł, z przeznaczeniem na refinansowanie zadłużenia wobec ACP CREDIT i SCA SICAV-RAIF. Uzgodnione warunki przewidują jednorazową wypłatę środków oraz 10-letni okres finansowania, liczony od dnia zawarcia umowy. Spółka będzie mogła również skorzystać z karencji w spłacie kapitału wynoszącej do 24 miesięcy, co pozwoli powiązać spłatę kapitału z uruchomieniem nowego zakładu. Po jej zakończeniu spłata pożyczki zostanie rozłożona na 96 równych rat miesięcznych. Zastąpienie zadłużenia w euro finansowaniem w złotych ograniczy także ekspozycję Spółki na ryzyko walutowe.</w:t>
      </w:r>
    </w:p>
    <w:p w14:paraId="1ED86E2A" w14:textId="77777777" w:rsidR="00711A31" w:rsidRDefault="00711A31" w:rsidP="00711A31">
      <w:pPr>
        <w:rPr>
          <w:rFonts w:ascii="Times New Roman" w:hAnsi="Times New Roman" w:cs="Times New Roman"/>
          <w:b/>
          <w:bCs/>
        </w:rPr>
      </w:pPr>
      <w:r>
        <w:rPr>
          <w:rFonts w:ascii="Times New Roman" w:hAnsi="Times New Roman" w:cs="Times New Roman"/>
        </w:rPr>
        <w:t xml:space="preserve">– Ostatnie miesiące poświęciliśmy na przygotowanie Spółki do nowego etapu rozwoju, w którym w pełni wykorzystamy potencjał zrealizowanych już inwestycji. Prace te prowadziliśmy w dwóch obszarach: biznesowym oraz optymalizacji struktury finansowania. Finansowanie z Agencji Rozwoju Przemysłu to kluczowy element naszego planu refinansowania i ważny krok w kierunku przebudowy struktury finansowania Spółki oraz stworzenia solidnych podstaw do jej dalszego rozwoju. Naszym celem jest całkowita spłata zobowiązania wobec ACP CREDIT i SCA SICAV-RAIF oraz zbudowanie bardziej stabilnego modelu finansowania. Dlatego łączymy pożyczkę ARP z refinansowaniem kredytu bankowego oraz planowanym pozyskaniem kapitału z emisji akcji. Chcemy w ten sposób nie tylko zamknąć dotychczasowy etap finansowania, ale przede wszystkim zoptymalizować koszty finansowania i zwiększyć elastyczność finansową Spółki oraz jej możliwości działania w kolejnych latach – </w:t>
      </w:r>
      <w:r>
        <w:rPr>
          <w:rFonts w:ascii="Times New Roman" w:hAnsi="Times New Roman" w:cs="Times New Roman"/>
          <w:b/>
          <w:bCs/>
        </w:rPr>
        <w:t xml:space="preserve">mówi Artur Chodkowski, Prezes Zarządu </w:t>
      </w:r>
      <w:proofErr w:type="spellStart"/>
      <w:r>
        <w:rPr>
          <w:rFonts w:ascii="Times New Roman" w:hAnsi="Times New Roman" w:cs="Times New Roman"/>
          <w:b/>
          <w:bCs/>
        </w:rPr>
        <w:t>Synthaverse</w:t>
      </w:r>
      <w:proofErr w:type="spellEnd"/>
      <w:r>
        <w:rPr>
          <w:rFonts w:ascii="Times New Roman" w:hAnsi="Times New Roman" w:cs="Times New Roman"/>
          <w:b/>
          <w:bCs/>
        </w:rPr>
        <w:t xml:space="preserve"> SA.</w:t>
      </w:r>
    </w:p>
    <w:p w14:paraId="7006F5A1" w14:textId="77777777" w:rsidR="00711A31" w:rsidRDefault="00711A31" w:rsidP="00711A31">
      <w:pPr>
        <w:rPr>
          <w:rFonts w:ascii="Times New Roman" w:hAnsi="Times New Roman" w:cs="Times New Roman"/>
        </w:rPr>
      </w:pPr>
      <w:r>
        <w:rPr>
          <w:rFonts w:ascii="Times New Roman" w:hAnsi="Times New Roman" w:cs="Times New Roman"/>
        </w:rPr>
        <w:t xml:space="preserve">Ważnym krokiem w realizacji tych założeń było także uzyskanie w poprzednim miesiącu pozytywnej decyzji kredytowej mBanku, dotyczącej przedłużenia dotychczasowego kredytu w rachunku bieżącym oraz zwiększenia jego limitu z 3,5 mln zł do maksymalnie 15 mln zł. Spółka planuje również przeniesienie obsługi faktoringowej z grupy ING do </w:t>
      </w:r>
      <w:proofErr w:type="spellStart"/>
      <w:r>
        <w:rPr>
          <w:rFonts w:ascii="Times New Roman" w:hAnsi="Times New Roman" w:cs="Times New Roman"/>
        </w:rPr>
        <w:t>mFaktoringu</w:t>
      </w:r>
      <w:proofErr w:type="spellEnd"/>
      <w:r>
        <w:rPr>
          <w:rFonts w:ascii="Times New Roman" w:hAnsi="Times New Roman" w:cs="Times New Roman"/>
        </w:rPr>
        <w:t>.</w:t>
      </w:r>
    </w:p>
    <w:p w14:paraId="560A206A" w14:textId="77777777" w:rsidR="00711A31" w:rsidRDefault="00711A31" w:rsidP="00711A31">
      <w:pPr>
        <w:rPr>
          <w:rFonts w:ascii="Times New Roman" w:hAnsi="Times New Roman" w:cs="Times New Roman"/>
        </w:rPr>
      </w:pPr>
      <w:r>
        <w:rPr>
          <w:rFonts w:ascii="Times New Roman" w:hAnsi="Times New Roman" w:cs="Times New Roman"/>
        </w:rPr>
        <w:t>Kolejnym elementem nowej struktury finansowania ma być pozyskanie dodatkowego kapitału poprzez emisję akcji. Środki z emisji mają pozwolić na obniżenie zadłużenia podlegającego spłacie ze środków ARP oraz zamknięcie docelowej struktury finansowania. Zarząd analizuje obecnie różne możliwości dokapitalizowania. Ostateczne warunki emisji, w tym liczba i cena oferowanych akcji, sposób przeprowadzenia oferty oraz grono potencjalnych inwestorów, będą zależeć od decyzji korporacyjnych, sytuacji rynkowej i przebiegu procesu pozyskiwania kapitału.</w:t>
      </w:r>
    </w:p>
    <w:p w14:paraId="5D8A7752" w14:textId="77777777" w:rsidR="00711A31" w:rsidRDefault="00711A31" w:rsidP="00711A31">
      <w:pPr>
        <w:rPr>
          <w:rFonts w:ascii="Times New Roman" w:hAnsi="Times New Roman" w:cs="Times New Roman"/>
        </w:rPr>
      </w:pPr>
      <w:r>
        <w:rPr>
          <w:rFonts w:ascii="Times New Roman" w:hAnsi="Times New Roman" w:cs="Times New Roman"/>
        </w:rPr>
        <w:t xml:space="preserve">– Refinansowanie ma zapewnić </w:t>
      </w:r>
      <w:proofErr w:type="spellStart"/>
      <w:r>
        <w:rPr>
          <w:rFonts w:ascii="Times New Roman" w:hAnsi="Times New Roman" w:cs="Times New Roman"/>
        </w:rPr>
        <w:t>Synthaverse</w:t>
      </w:r>
      <w:proofErr w:type="spellEnd"/>
      <w:r>
        <w:rPr>
          <w:rFonts w:ascii="Times New Roman" w:hAnsi="Times New Roman" w:cs="Times New Roman"/>
        </w:rPr>
        <w:t xml:space="preserve"> stabilniejsze warunki finansowania w okresie poprzedzającym uruchomienie komercyjnej produkcji w nowym zakładzie </w:t>
      </w:r>
      <w:proofErr w:type="spellStart"/>
      <w:r>
        <w:rPr>
          <w:rFonts w:ascii="Times New Roman" w:hAnsi="Times New Roman" w:cs="Times New Roman"/>
        </w:rPr>
        <w:t>Onko</w:t>
      </w:r>
      <w:proofErr w:type="spellEnd"/>
      <w:r>
        <w:rPr>
          <w:rFonts w:ascii="Times New Roman" w:hAnsi="Times New Roman" w:cs="Times New Roman"/>
        </w:rPr>
        <w:t xml:space="preserve"> BCG. Według naszych szacunków realizacja planowanej struktury finansowania pozwoli obniżyć roczne koszty odsetkowe do około 40 proc. poziomu szacowanego na 2026 rok, co oznacza oszczędność około 5,32 mln zł rocznie. To istotne odciążenie dla Spółki, które zwiększy jej zdolność do finansowania działalności i rozwoju.</w:t>
      </w:r>
    </w:p>
    <w:p w14:paraId="24106573" w14:textId="77777777" w:rsidR="00711A31" w:rsidRDefault="00711A31" w:rsidP="00711A31">
      <w:pPr>
        <w:rPr>
          <w:rFonts w:ascii="Times New Roman" w:hAnsi="Times New Roman" w:cs="Times New Roman"/>
        </w:rPr>
      </w:pPr>
      <w:r>
        <w:rPr>
          <w:rFonts w:ascii="Times New Roman" w:hAnsi="Times New Roman" w:cs="Times New Roman"/>
        </w:rPr>
        <w:t xml:space="preserve">Równie ważne jest pozyskanie finansowania ARP na 10 lat, z możliwością skorzystania z karencji w spłacie kapitału do 24 miesięcy. Pozwoliłoby to rozpocząć spłatę kapitału już po planowanym uruchomieniu komercyjnej produkcji w nowym zakładzie </w:t>
      </w:r>
      <w:proofErr w:type="spellStart"/>
      <w:r>
        <w:rPr>
          <w:rFonts w:ascii="Times New Roman" w:hAnsi="Times New Roman" w:cs="Times New Roman"/>
        </w:rPr>
        <w:t>Onko</w:t>
      </w:r>
      <w:proofErr w:type="spellEnd"/>
      <w:r>
        <w:rPr>
          <w:rFonts w:ascii="Times New Roman" w:hAnsi="Times New Roman" w:cs="Times New Roman"/>
        </w:rPr>
        <w:t xml:space="preserve"> BCG i lepiej dopasować obsługę zadłużenia do przewidywanych przepływów pieniężnych.</w:t>
      </w:r>
    </w:p>
    <w:p w14:paraId="2410AC65" w14:textId="77777777" w:rsidR="00711A31" w:rsidRDefault="00711A31" w:rsidP="00711A31">
      <w:pPr>
        <w:rPr>
          <w:rFonts w:ascii="Times New Roman" w:hAnsi="Times New Roman" w:cs="Times New Roman"/>
        </w:rPr>
      </w:pPr>
      <w:r>
        <w:rPr>
          <w:rFonts w:ascii="Times New Roman" w:hAnsi="Times New Roman" w:cs="Times New Roman"/>
        </w:rPr>
        <w:t xml:space="preserve">Decyzję ARP poprzedziła szczegółowa analiza naszego modelu finansowego. Jej pozytywny wynik umacnia nas w przekonaniu, że przyjęty w ostatnich miesiącach plan refinansowania odpowiada potrzebom Spółki, a założenia dotyczące jej dalszego rozwoju mają solidne podstawy – </w:t>
      </w:r>
      <w:r>
        <w:rPr>
          <w:rFonts w:ascii="Times New Roman" w:hAnsi="Times New Roman" w:cs="Times New Roman"/>
          <w:b/>
          <w:bCs/>
        </w:rPr>
        <w:t xml:space="preserve">podkreśla Dariusz </w:t>
      </w:r>
      <w:proofErr w:type="spellStart"/>
      <w:r>
        <w:rPr>
          <w:rFonts w:ascii="Times New Roman" w:hAnsi="Times New Roman" w:cs="Times New Roman"/>
          <w:b/>
          <w:bCs/>
        </w:rPr>
        <w:t>Kucowicz</w:t>
      </w:r>
      <w:proofErr w:type="spellEnd"/>
      <w:r>
        <w:rPr>
          <w:rFonts w:ascii="Times New Roman" w:hAnsi="Times New Roman" w:cs="Times New Roman"/>
          <w:b/>
          <w:bCs/>
        </w:rPr>
        <w:t xml:space="preserve">, Członek Zarządu </w:t>
      </w:r>
      <w:proofErr w:type="spellStart"/>
      <w:r>
        <w:rPr>
          <w:rFonts w:ascii="Times New Roman" w:hAnsi="Times New Roman" w:cs="Times New Roman"/>
          <w:b/>
          <w:bCs/>
        </w:rPr>
        <w:t>Synthaverse</w:t>
      </w:r>
      <w:proofErr w:type="spellEnd"/>
      <w:r>
        <w:rPr>
          <w:rFonts w:ascii="Times New Roman" w:hAnsi="Times New Roman" w:cs="Times New Roman"/>
          <w:b/>
          <w:bCs/>
        </w:rPr>
        <w:t xml:space="preserve"> SA.</w:t>
      </w:r>
    </w:p>
    <w:p w14:paraId="2EB25A56" w14:textId="77777777" w:rsidR="00711A31" w:rsidRDefault="00711A31" w:rsidP="00711A31">
      <w:pPr>
        <w:rPr>
          <w:rFonts w:ascii="Times New Roman" w:hAnsi="Times New Roman" w:cs="Times New Roman"/>
        </w:rPr>
      </w:pPr>
      <w:r>
        <w:rPr>
          <w:rFonts w:ascii="Times New Roman" w:hAnsi="Times New Roman" w:cs="Times New Roman"/>
        </w:rPr>
        <w:t xml:space="preserve">W I półroczu 2026 r. </w:t>
      </w:r>
      <w:proofErr w:type="spellStart"/>
      <w:r>
        <w:rPr>
          <w:rFonts w:ascii="Times New Roman" w:hAnsi="Times New Roman" w:cs="Times New Roman"/>
        </w:rPr>
        <w:t>Synthaverse</w:t>
      </w:r>
      <w:proofErr w:type="spellEnd"/>
      <w:r>
        <w:rPr>
          <w:rFonts w:ascii="Times New Roman" w:hAnsi="Times New Roman" w:cs="Times New Roman"/>
        </w:rPr>
        <w:t xml:space="preserve"> osiągnął 26,5 mln zł przychodów, o ponad 34 proc. więcej niż rok wcześniej. Dynamiczny wzrost sprzedaży, przy jednoczesnym utrzymaniu dyscypliny kosztowej w podstawowej działalności, przełożył się na wzrost EBITDA do 5,4 mln zł z 2,2 mln zł w analogicznym okresie 2025 r., czyli o 142 proc. r/r. Wynik netto wyniósł -6,4 mln zł, na co wpływ miały m.in. niegotówkowe koszty amortyzacji nowych aktywów oraz koszty finansowe. Jednocześnie działalność podstawowa jest w pełni rentowna i generuje dodatnie przepływy pieniężne z działalności operacyjnej. Nowy zakład </w:t>
      </w:r>
      <w:proofErr w:type="spellStart"/>
      <w:r>
        <w:rPr>
          <w:rFonts w:ascii="Times New Roman" w:hAnsi="Times New Roman" w:cs="Times New Roman"/>
        </w:rPr>
        <w:t>Onko</w:t>
      </w:r>
      <w:proofErr w:type="spellEnd"/>
      <w:r>
        <w:rPr>
          <w:rFonts w:ascii="Times New Roman" w:hAnsi="Times New Roman" w:cs="Times New Roman"/>
        </w:rPr>
        <w:t xml:space="preserve"> BCG jest obecnie na etapie certyfikacji i walidacji, po których zakończeniu Spółka planuje rozpoczęcie sprzedaży z tego zakładu.</w:t>
      </w:r>
    </w:p>
    <w:p w14:paraId="0B405F33" w14:textId="77777777" w:rsidR="00711A31" w:rsidRDefault="00711A31" w:rsidP="00711A31">
      <w:pPr>
        <w:rPr>
          <w:rFonts w:ascii="Times New Roman" w:hAnsi="Times New Roman" w:cs="Times New Roman"/>
        </w:rPr>
      </w:pPr>
    </w:p>
    <w:p w14:paraId="54282F9F" w14:textId="77777777" w:rsidR="00CF0E95" w:rsidRPr="008A2499" w:rsidRDefault="00CF0E95">
      <w:pPr>
        <w:rPr>
          <w:rFonts w:ascii="Times New Roman" w:hAnsi="Times New Roman" w:cs="Times New Roman"/>
        </w:rPr>
      </w:pPr>
    </w:p>
    <w:sectPr w:rsidR="00CF0E95" w:rsidRPr="008A2499" w:rsidSect="00711A31">
      <w:pgSz w:w="11906" w:h="16838"/>
      <w:pgMar w:top="1417" w:right="1417" w:bottom="1417" w:left="1417" w:header="0" w:footer="0" w:gutter="0"/>
      <w:cols w:space="708"/>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E95"/>
    <w:rsid w:val="000E5147"/>
    <w:rsid w:val="0020578E"/>
    <w:rsid w:val="00327518"/>
    <w:rsid w:val="005029C6"/>
    <w:rsid w:val="00711A31"/>
    <w:rsid w:val="00766D12"/>
    <w:rsid w:val="007C2C1B"/>
    <w:rsid w:val="008A2499"/>
    <w:rsid w:val="008A5ADC"/>
    <w:rsid w:val="00AE3B0F"/>
    <w:rsid w:val="00AF283C"/>
    <w:rsid w:val="00BC4D4A"/>
    <w:rsid w:val="00CF0E95"/>
    <w:rsid w:val="00D34CFE"/>
    <w:rsid w:val="00FD57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718E7"/>
  <w15:chartTrackingRefBased/>
  <w15:docId w15:val="{9CB63835-286A-4F6B-B790-480FF7A6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1A31"/>
    <w:pPr>
      <w:suppressAutoHyphens/>
      <w:spacing w:line="276" w:lineRule="auto"/>
    </w:pPr>
  </w:style>
  <w:style w:type="paragraph" w:styleId="Nagwek1">
    <w:name w:val="heading 1"/>
    <w:basedOn w:val="Normalny"/>
    <w:next w:val="Normalny"/>
    <w:link w:val="Nagwek1Znak"/>
    <w:uiPriority w:val="9"/>
    <w:qFormat/>
    <w:rsid w:val="00CF0E95"/>
    <w:pPr>
      <w:keepNext/>
      <w:keepLines/>
      <w:suppressAutoHyphens w:val="0"/>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CF0E95"/>
    <w:pPr>
      <w:keepNext/>
      <w:keepLines/>
      <w:suppressAutoHyphens w:val="0"/>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CF0E95"/>
    <w:pPr>
      <w:keepNext/>
      <w:keepLines/>
      <w:suppressAutoHyphens w:val="0"/>
      <w:spacing w:before="160" w:after="80" w:line="278" w:lineRule="auto"/>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CF0E95"/>
    <w:pPr>
      <w:keepNext/>
      <w:keepLines/>
      <w:suppressAutoHyphens w:val="0"/>
      <w:spacing w:before="80" w:after="40" w:line="278" w:lineRule="auto"/>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CF0E95"/>
    <w:pPr>
      <w:keepNext/>
      <w:keepLines/>
      <w:suppressAutoHyphens w:val="0"/>
      <w:spacing w:before="80" w:after="40" w:line="278" w:lineRule="auto"/>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CF0E95"/>
    <w:pPr>
      <w:keepNext/>
      <w:keepLines/>
      <w:suppressAutoHyphens w:val="0"/>
      <w:spacing w:before="40" w:after="0" w:line="278" w:lineRule="auto"/>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F0E95"/>
    <w:pPr>
      <w:keepNext/>
      <w:keepLines/>
      <w:suppressAutoHyphens w:val="0"/>
      <w:spacing w:before="40" w:after="0" w:line="278" w:lineRule="auto"/>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F0E95"/>
    <w:pPr>
      <w:keepNext/>
      <w:keepLines/>
      <w:suppressAutoHyphens w:val="0"/>
      <w:spacing w:after="0" w:line="278" w:lineRule="auto"/>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F0E95"/>
    <w:pPr>
      <w:keepNext/>
      <w:keepLines/>
      <w:suppressAutoHyphens w:val="0"/>
      <w:spacing w:after="0" w:line="278" w:lineRule="auto"/>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F0E95"/>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CF0E95"/>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CF0E95"/>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CF0E95"/>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CF0E95"/>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CF0E95"/>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F0E95"/>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F0E95"/>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F0E95"/>
    <w:rPr>
      <w:rFonts w:eastAsiaTheme="majorEastAsia" w:cstheme="majorBidi"/>
      <w:color w:val="272727" w:themeColor="text1" w:themeTint="D8"/>
    </w:rPr>
  </w:style>
  <w:style w:type="paragraph" w:styleId="Tytu">
    <w:name w:val="Title"/>
    <w:basedOn w:val="Normalny"/>
    <w:next w:val="Normalny"/>
    <w:link w:val="TytuZnak"/>
    <w:uiPriority w:val="10"/>
    <w:qFormat/>
    <w:rsid w:val="00CF0E95"/>
    <w:pPr>
      <w:suppressAutoHyphens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F0E95"/>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F0E95"/>
    <w:pPr>
      <w:numPr>
        <w:ilvl w:val="1"/>
      </w:numPr>
      <w:suppressAutoHyphens w:val="0"/>
      <w:spacing w:line="278" w:lineRule="auto"/>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F0E95"/>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F0E95"/>
    <w:pPr>
      <w:suppressAutoHyphens w:val="0"/>
      <w:spacing w:before="160" w:line="278" w:lineRule="auto"/>
      <w:jc w:val="center"/>
    </w:pPr>
    <w:rPr>
      <w:i/>
      <w:iCs/>
      <w:color w:val="404040" w:themeColor="text1" w:themeTint="BF"/>
    </w:rPr>
  </w:style>
  <w:style w:type="character" w:customStyle="1" w:styleId="CytatZnak">
    <w:name w:val="Cytat Znak"/>
    <w:basedOn w:val="Domylnaczcionkaakapitu"/>
    <w:link w:val="Cytat"/>
    <w:uiPriority w:val="29"/>
    <w:rsid w:val="00CF0E95"/>
    <w:rPr>
      <w:i/>
      <w:iCs/>
      <w:color w:val="404040" w:themeColor="text1" w:themeTint="BF"/>
    </w:rPr>
  </w:style>
  <w:style w:type="paragraph" w:styleId="Akapitzlist">
    <w:name w:val="List Paragraph"/>
    <w:basedOn w:val="Normalny"/>
    <w:uiPriority w:val="34"/>
    <w:qFormat/>
    <w:rsid w:val="00CF0E95"/>
    <w:pPr>
      <w:suppressAutoHyphens w:val="0"/>
      <w:spacing w:line="278" w:lineRule="auto"/>
      <w:ind w:left="720"/>
      <w:contextualSpacing/>
    </w:pPr>
  </w:style>
  <w:style w:type="character" w:styleId="Wyrnienieintensywne">
    <w:name w:val="Intense Emphasis"/>
    <w:basedOn w:val="Domylnaczcionkaakapitu"/>
    <w:uiPriority w:val="21"/>
    <w:qFormat/>
    <w:rsid w:val="00CF0E95"/>
    <w:rPr>
      <w:i/>
      <w:iCs/>
      <w:color w:val="0F4761" w:themeColor="accent1" w:themeShade="BF"/>
    </w:rPr>
  </w:style>
  <w:style w:type="paragraph" w:styleId="Cytatintensywny">
    <w:name w:val="Intense Quote"/>
    <w:basedOn w:val="Normalny"/>
    <w:next w:val="Normalny"/>
    <w:link w:val="CytatintensywnyZnak"/>
    <w:uiPriority w:val="30"/>
    <w:qFormat/>
    <w:rsid w:val="00CF0E95"/>
    <w:pPr>
      <w:pBdr>
        <w:top w:val="single" w:sz="4" w:space="10" w:color="0F4761" w:themeColor="accent1" w:themeShade="BF"/>
        <w:bottom w:val="single" w:sz="4" w:space="10" w:color="0F4761" w:themeColor="accent1" w:themeShade="BF"/>
      </w:pBdr>
      <w:suppressAutoHyphens w:val="0"/>
      <w:spacing w:before="360" w:after="360" w:line="278" w:lineRule="auto"/>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CF0E95"/>
    <w:rPr>
      <w:i/>
      <w:iCs/>
      <w:color w:val="0F4761" w:themeColor="accent1" w:themeShade="BF"/>
    </w:rPr>
  </w:style>
  <w:style w:type="character" w:styleId="Odwoanieintensywne">
    <w:name w:val="Intense Reference"/>
    <w:basedOn w:val="Domylnaczcionkaakapitu"/>
    <w:uiPriority w:val="32"/>
    <w:qFormat/>
    <w:rsid w:val="00CF0E95"/>
    <w:rPr>
      <w:b/>
      <w:bCs/>
      <w:smallCaps/>
      <w:color w:val="0F4761" w:themeColor="accent1" w:themeShade="BF"/>
      <w:spacing w:val="5"/>
    </w:rPr>
  </w:style>
  <w:style w:type="character" w:styleId="Odwoaniedokomentarza">
    <w:name w:val="annotation reference"/>
    <w:basedOn w:val="Domylnaczcionkaakapitu"/>
    <w:uiPriority w:val="99"/>
    <w:semiHidden/>
    <w:unhideWhenUsed/>
    <w:rsid w:val="00BC4D4A"/>
    <w:rPr>
      <w:sz w:val="16"/>
      <w:szCs w:val="16"/>
    </w:rPr>
  </w:style>
  <w:style w:type="paragraph" w:styleId="Tekstkomentarza">
    <w:name w:val="annotation text"/>
    <w:basedOn w:val="Normalny"/>
    <w:link w:val="TekstkomentarzaZnak"/>
    <w:uiPriority w:val="99"/>
    <w:unhideWhenUsed/>
    <w:rsid w:val="00BC4D4A"/>
    <w:pPr>
      <w:suppressAutoHyphens w:val="0"/>
      <w:spacing w:line="240" w:lineRule="auto"/>
    </w:pPr>
    <w:rPr>
      <w:sz w:val="20"/>
      <w:szCs w:val="20"/>
    </w:rPr>
  </w:style>
  <w:style w:type="character" w:customStyle="1" w:styleId="TekstkomentarzaZnak">
    <w:name w:val="Tekst komentarza Znak"/>
    <w:basedOn w:val="Domylnaczcionkaakapitu"/>
    <w:link w:val="Tekstkomentarza"/>
    <w:uiPriority w:val="99"/>
    <w:rsid w:val="00BC4D4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200</TotalTime>
  <Pages>1</Pages>
  <Words>702</Words>
  <Characters>4218</Characters>
  <Application>Microsoft Office Word</Application>
  <DocSecurity>0</DocSecurity>
  <Lines>35</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Maciej Zbiejcik</dc:creator>
  <cp:keywords/>
  <dc:description/>
  <cp:lastModifiedBy>Maciej Zbiejcik</cp:lastModifiedBy>
  <cp:revision>10</cp:revision>
  <dcterms:created xsi:type="dcterms:W3CDTF">2026-10-15T12:44:00Z</dcterms:created>
  <dcterms:modified xsi:type="dcterms:W3CDTF">2026-10-16T06:40:00Z</dcterms:modified>
</cp:coreProperties>
</file>