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2A473" w14:textId="77777777" w:rsidR="00B51D84" w:rsidRPr="00B51D84" w:rsidRDefault="00B51D84" w:rsidP="00B51D84">
      <w:pPr>
        <w:rPr>
          <w:rFonts w:ascii="Roboto" w:hAnsi="Roboto"/>
          <w:b/>
          <w:color w:val="2C363A"/>
          <w:sz w:val="24"/>
          <w:szCs w:val="24"/>
          <w:shd w:val="clear" w:color="auto" w:fill="FFFFFF"/>
        </w:rPr>
      </w:pPr>
      <w:bookmarkStart w:id="0" w:name="_Hlk171690891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>Informacja prasowa</w:t>
      </w:r>
    </w:p>
    <w:p w14:paraId="12CBCBC9" w14:textId="77777777" w:rsidR="00B51D84" w:rsidRPr="00B51D84" w:rsidRDefault="00B51D84" w:rsidP="00B51D84">
      <w:pPr>
        <w:rPr>
          <w:rFonts w:ascii="Roboto" w:hAnsi="Roboto"/>
          <w:b/>
          <w:color w:val="2C363A"/>
          <w:sz w:val="24"/>
          <w:szCs w:val="24"/>
          <w:shd w:val="clear" w:color="auto" w:fill="FFFFFF"/>
        </w:rPr>
      </w:pPr>
    </w:p>
    <w:p w14:paraId="2F55A92D" w14:textId="77777777" w:rsidR="00B51D84" w:rsidRPr="00B51D84" w:rsidRDefault="00B51D84" w:rsidP="00B51D84">
      <w:pPr>
        <w:jc w:val="center"/>
        <w:rPr>
          <w:rFonts w:ascii="Roboto" w:hAnsi="Roboto"/>
          <w:b/>
          <w:color w:val="2C363A"/>
          <w:sz w:val="24"/>
          <w:szCs w:val="24"/>
          <w:shd w:val="clear" w:color="auto" w:fill="FFFFFF"/>
        </w:rPr>
      </w:pPr>
      <w:proofErr w:type="spellStart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 xml:space="preserve"> zakończył restrukturyzację zadłużenia, priorytetem dalszy rozwój</w:t>
      </w:r>
    </w:p>
    <w:p w14:paraId="0447DDF2" w14:textId="77777777" w:rsidR="00B51D84" w:rsidRPr="00B51D84" w:rsidRDefault="00B51D84" w:rsidP="00B51D84">
      <w:pPr>
        <w:rPr>
          <w:rFonts w:ascii="Roboto" w:hAnsi="Roboto"/>
          <w:b/>
          <w:color w:val="2C363A"/>
          <w:sz w:val="24"/>
          <w:szCs w:val="24"/>
          <w:shd w:val="clear" w:color="auto" w:fill="FFFFFF"/>
        </w:rPr>
      </w:pPr>
    </w:p>
    <w:p w14:paraId="541A420A" w14:textId="7730F2CB" w:rsidR="00B51D84" w:rsidRPr="00B51D84" w:rsidRDefault="00B51D84" w:rsidP="00B51D84">
      <w:pPr>
        <w:jc w:val="both"/>
        <w:rPr>
          <w:rFonts w:ascii="Roboto" w:hAnsi="Roboto"/>
          <w:b/>
          <w:color w:val="2C363A"/>
          <w:sz w:val="24"/>
          <w:szCs w:val="24"/>
          <w:shd w:val="clear" w:color="auto" w:fill="FFFFFF"/>
        </w:rPr>
      </w:pPr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 xml:space="preserve">Biotechnologiczna spółka spłaciła przed terminem ostatnią ratę w ramach zawartego w 2016 roku układu z wierzycielami. Niezależnie od przeznaczenia na spłatę wierzycieli w sumie prawie 97,1 mln zł, </w:t>
      </w:r>
      <w:proofErr w:type="spellStart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 xml:space="preserve"> zdołał wybudował i uruchomił Zakład Produkcyjny </w:t>
      </w:r>
      <w:proofErr w:type="spellStart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>Onko</w:t>
      </w:r>
      <w:proofErr w:type="spellEnd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 xml:space="preserve"> BCG oraz Centrum Badawczo-Rozwojowe, które kosztowały łącznie ponad 180 mln zł. i mają w ciągu najbliższych lat zapewnić skokowy wzrost. Teraz Spółka może skupić się wyłącznie na rozwoju i dalszej ekspansji w kraju oraz za granicą., a środki, które do tej pory szły na obsługę wierzycieli, mogą dodatkowo wzmocnić działalność operacyjną.</w:t>
      </w:r>
    </w:p>
    <w:p w14:paraId="0E644B28" w14:textId="77777777" w:rsidR="00B51D84" w:rsidRPr="00B51D84" w:rsidRDefault="00B51D84" w:rsidP="00B51D84">
      <w:pPr>
        <w:jc w:val="both"/>
        <w:rPr>
          <w:rFonts w:ascii="Roboto" w:hAnsi="Roboto"/>
          <w:b/>
          <w:color w:val="2C363A"/>
          <w:sz w:val="24"/>
          <w:szCs w:val="24"/>
          <w:shd w:val="clear" w:color="auto" w:fill="FFFFFF"/>
        </w:rPr>
      </w:pPr>
    </w:p>
    <w:p w14:paraId="38A408FC" w14:textId="7EFE17A3" w:rsidR="00B51D84" w:rsidRPr="00B51D84" w:rsidRDefault="00B51D84" w:rsidP="00B51D84">
      <w:pPr>
        <w:jc w:val="both"/>
        <w:rPr>
          <w:rFonts w:ascii="Roboto" w:hAnsi="Roboto"/>
          <w:color w:val="2C363A"/>
          <w:sz w:val="24"/>
          <w:szCs w:val="24"/>
          <w:shd w:val="clear" w:color="auto" w:fill="FFFFFF"/>
        </w:rPr>
      </w:pPr>
      <w:bookmarkStart w:id="1" w:name="_GoBack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W 2016 roku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(ówczesny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Biomed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Lublin) zawarł układ z wierzycielami w ramach postępowania restrukturyzacyjnego. Wartość wierzytelności objętych układem wraz ze świadczeniami ubocznymi wyniosła </w:t>
      </w:r>
      <w:r w:rsidR="00ED71E8">
        <w:rPr>
          <w:rFonts w:ascii="Roboto" w:hAnsi="Roboto"/>
          <w:color w:val="2C363A"/>
          <w:sz w:val="24"/>
          <w:szCs w:val="24"/>
          <w:shd w:val="clear" w:color="auto" w:fill="FFFFFF"/>
        </w:rPr>
        <w:t>97,1</w:t>
      </w:r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mln zł. Termin pierwszej spłaty przypadał na października 2016 roku, a ostatniej przypada na koniec tego roku. Spółka właśnie poinformowała o całkowitej spłacie wierzytelności układowych.</w:t>
      </w:r>
    </w:p>
    <w:p w14:paraId="07F98205" w14:textId="709D4223" w:rsidR="00B51D84" w:rsidRPr="00B51D84" w:rsidRDefault="00B51D84" w:rsidP="00B51D84">
      <w:pPr>
        <w:jc w:val="both"/>
        <w:rPr>
          <w:rFonts w:ascii="Roboto" w:hAnsi="Roboto"/>
          <w:i/>
          <w:color w:val="2C363A"/>
          <w:sz w:val="24"/>
          <w:szCs w:val="24"/>
          <w:shd w:val="clear" w:color="auto" w:fill="FFFFFF"/>
        </w:rPr>
      </w:pPr>
      <w:r w:rsidRPr="00B51D84">
        <w:rPr>
          <w:rFonts w:ascii="Roboto" w:hAnsi="Roboto"/>
          <w:i/>
          <w:color w:val="2C363A"/>
          <w:sz w:val="24"/>
          <w:szCs w:val="24"/>
          <w:shd w:val="clear" w:color="auto" w:fill="FFFFFF"/>
        </w:rPr>
        <w:t xml:space="preserve">– Pomimo realizacji dwóch strategicznych inwestycji, łącznie za ponad 180 mln zł, byliśmy w stanie jednocześnie spłacić wierzytelności w ramach realizowanego postępowania układowego. W ciągu ośmiu lat była to kwota prawie 97,1 mln zł. To dobitnie pokazuje, jak silne mamy podstawy i zdrowe fundamenty </w:t>
      </w:r>
      <w:proofErr w:type="spellStart"/>
      <w:r w:rsidRPr="00B51D84">
        <w:rPr>
          <w:rFonts w:ascii="Roboto" w:hAnsi="Roboto"/>
          <w:i/>
          <w:color w:val="2C363A"/>
          <w:sz w:val="24"/>
          <w:szCs w:val="24"/>
          <w:shd w:val="clear" w:color="auto" w:fill="FFFFFF"/>
        </w:rPr>
        <w:t>core</w:t>
      </w:r>
      <w:proofErr w:type="spellEnd"/>
      <w:r w:rsidRPr="00B51D84">
        <w:rPr>
          <w:rFonts w:ascii="Roboto" w:hAnsi="Roboto"/>
          <w:i/>
          <w:color w:val="2C363A"/>
          <w:sz w:val="24"/>
          <w:szCs w:val="24"/>
          <w:shd w:val="clear" w:color="auto" w:fill="FFFFFF"/>
        </w:rPr>
        <w:t xml:space="preserve"> biznesu. Jednocześnie dowodzi naszej skuteczności w realizowaniu przyjętej strategii, zarazem wskazując na potencjał, jaki drzemie w </w:t>
      </w:r>
      <w:proofErr w:type="spellStart"/>
      <w:r w:rsidRPr="00B51D84">
        <w:rPr>
          <w:rFonts w:ascii="Roboto" w:hAnsi="Roboto"/>
          <w:i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i/>
          <w:color w:val="2C363A"/>
          <w:sz w:val="24"/>
          <w:szCs w:val="24"/>
          <w:shd w:val="clear" w:color="auto" w:fill="FFFFFF"/>
        </w:rPr>
        <w:t xml:space="preserve">. </w:t>
      </w:r>
    </w:p>
    <w:p w14:paraId="09FD9E76" w14:textId="77777777" w:rsidR="00B51D84" w:rsidRPr="00B51D84" w:rsidRDefault="00B51D84" w:rsidP="00B51D84">
      <w:pPr>
        <w:jc w:val="both"/>
        <w:rPr>
          <w:rFonts w:ascii="Roboto" w:hAnsi="Roboto"/>
          <w:i/>
          <w:color w:val="2C363A"/>
          <w:sz w:val="24"/>
          <w:szCs w:val="24"/>
          <w:shd w:val="clear" w:color="auto" w:fill="FFFFFF"/>
        </w:rPr>
      </w:pPr>
      <w:r w:rsidRPr="00B51D84">
        <w:rPr>
          <w:rFonts w:ascii="Roboto" w:hAnsi="Roboto"/>
          <w:i/>
          <w:color w:val="2C363A"/>
          <w:sz w:val="24"/>
          <w:szCs w:val="24"/>
          <w:shd w:val="clear" w:color="auto" w:fill="FFFFFF"/>
        </w:rPr>
        <w:t xml:space="preserve">Dodatkowo warto zaznaczyć, że ostatnie wierzytelności spłaciliśmy przed terminem. Teraz będziemy mogli skupić się wyłącznie na rozwoju i dalszej ekspansji w kraju i za granicą, a środki, które do tej pory przeznaczaliśmy na obsługę wierzycieli, mogą być wydatkowane na wzmocnienie działalności operacyjnej. Do tego spłata w całości zadłużenia wynikającego z układu znacząco poprawia naszą sytuację finansową i możliwości pozyskania ewentualnego finansowania dłużnego. Jesteśmy obecnie w ważnym momencie, gdyż wkraczamy w nowy etap rozwoju, związany z uruchomieniem dwóch strategicznych inwestycji – komentuje </w:t>
      </w:r>
      <w:r w:rsidRPr="00B51D84">
        <w:rPr>
          <w:rFonts w:ascii="Roboto" w:hAnsi="Roboto"/>
          <w:b/>
          <w:i/>
          <w:color w:val="2C363A"/>
          <w:sz w:val="24"/>
          <w:szCs w:val="24"/>
          <w:shd w:val="clear" w:color="auto" w:fill="FFFFFF"/>
        </w:rPr>
        <w:t xml:space="preserve">Mieczysław </w:t>
      </w:r>
      <w:proofErr w:type="spellStart"/>
      <w:r w:rsidRPr="00B51D84">
        <w:rPr>
          <w:rFonts w:ascii="Roboto" w:hAnsi="Roboto"/>
          <w:b/>
          <w:i/>
          <w:color w:val="2C363A"/>
          <w:sz w:val="24"/>
          <w:szCs w:val="24"/>
          <w:shd w:val="clear" w:color="auto" w:fill="FFFFFF"/>
        </w:rPr>
        <w:t>Starkowicz</w:t>
      </w:r>
      <w:proofErr w:type="spellEnd"/>
      <w:r w:rsidRPr="00B51D84">
        <w:rPr>
          <w:rFonts w:ascii="Roboto" w:hAnsi="Roboto"/>
          <w:b/>
          <w:i/>
          <w:color w:val="2C363A"/>
          <w:sz w:val="24"/>
          <w:szCs w:val="24"/>
          <w:shd w:val="clear" w:color="auto" w:fill="FFFFFF"/>
        </w:rPr>
        <w:t xml:space="preserve">, prezes zarządu </w:t>
      </w:r>
      <w:proofErr w:type="spellStart"/>
      <w:r w:rsidRPr="00B51D84">
        <w:rPr>
          <w:rFonts w:ascii="Roboto" w:hAnsi="Roboto"/>
          <w:b/>
          <w:i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b/>
          <w:i/>
          <w:color w:val="2C363A"/>
          <w:sz w:val="24"/>
          <w:szCs w:val="24"/>
          <w:shd w:val="clear" w:color="auto" w:fill="FFFFFF"/>
        </w:rPr>
        <w:t>.</w:t>
      </w:r>
    </w:p>
    <w:p w14:paraId="61B4C186" w14:textId="77777777" w:rsidR="00B51D84" w:rsidRPr="00B51D84" w:rsidRDefault="00B51D84" w:rsidP="00B51D84">
      <w:pPr>
        <w:jc w:val="both"/>
        <w:rPr>
          <w:rFonts w:ascii="Roboto" w:hAnsi="Roboto"/>
          <w:color w:val="2C363A"/>
          <w:sz w:val="24"/>
          <w:szCs w:val="24"/>
          <w:shd w:val="clear" w:color="auto" w:fill="FFFFFF"/>
        </w:rPr>
      </w:pPr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Z początkiem 2024 roku Spółka rozpoczęła działalność operacyjną w nowo wybudowanym Centrum Badawczo- Rozwojowym (CBR), kilka dni temu uruchomiono nowy zakład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Onko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BCG. W 2026 roku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chce dojść do pełnej operacyjności, zarówno nowego zakładu produkcyjnego, jak też CBR, co powinno podnieść moce w zakresie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Onko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aż 7-krotnie. Nowy zakład wyróżnia najnowocześniejsza infrastruktura i park maszynowy, w najwyższym standardzie jakościowym, co daje możliwość produkowania nawet na najbardziej wymagające rynki na świecie. Lek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Onko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BCG, który będzie tam produkowany jest stosowany w terapii onkologicznej, gdzie występuje światowy deficyt. W CBR docelowo będą przygotowywane i wprowadzane na rynek produkty lecznicze charakteryzujące się wysoką innowacyjnością w skali światowej.</w:t>
      </w:r>
    </w:p>
    <w:bookmarkEnd w:id="1"/>
    <w:p w14:paraId="6E711568" w14:textId="77777777" w:rsidR="00B51D84" w:rsidRPr="00B51D84" w:rsidRDefault="00B51D84" w:rsidP="00B51D84">
      <w:pPr>
        <w:jc w:val="both"/>
        <w:rPr>
          <w:rFonts w:ascii="Roboto" w:hAnsi="Roboto"/>
          <w:color w:val="2C363A"/>
          <w:sz w:val="24"/>
          <w:szCs w:val="24"/>
          <w:shd w:val="clear" w:color="auto" w:fill="FFFFFF"/>
        </w:rPr>
      </w:pPr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***</w:t>
      </w:r>
    </w:p>
    <w:p w14:paraId="034F2DEC" w14:textId="77777777" w:rsidR="00B51D84" w:rsidRPr="00466097" w:rsidRDefault="00B51D84" w:rsidP="00B51D84">
      <w:pPr>
        <w:jc w:val="both"/>
        <w:rPr>
          <w:rFonts w:ascii="Roboto" w:hAnsi="Roboto"/>
          <w:color w:val="2C363A"/>
          <w:sz w:val="24"/>
          <w:szCs w:val="24"/>
          <w:shd w:val="clear" w:color="auto" w:fill="FFFFFF"/>
        </w:rPr>
      </w:pPr>
      <w:proofErr w:type="spellStart"/>
      <w:r w:rsidRPr="00B51D84">
        <w:rPr>
          <w:rFonts w:ascii="Roboto" w:hAnsi="Roboto"/>
          <w:b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jest polską firmą farmaceutyczną. Spółka wytwarza wiele poszukiwanych produktów leczniczych, które od lat cieszą się zaufaniem i uznaniem lekarzy i pacjentów. Produkowane przez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Synthaverse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preparaty lecznicze są unikatowe, innowacyjne, spełniające wszelkie niezbędne wymagania jakościowe. W dalszym rozwoju organicznym mają pomóc dwie strategiczne inwestycje –Centrum Badawczo-Rozwojowe i badań klinicznych oraz nowy zakład produkcyjny </w:t>
      </w:r>
      <w:proofErr w:type="spellStart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>Onko</w:t>
      </w:r>
      <w:proofErr w:type="spellEnd"/>
      <w:r w:rsidRPr="00B51D84">
        <w:rPr>
          <w:rFonts w:ascii="Roboto" w:hAnsi="Roboto"/>
          <w:color w:val="2C363A"/>
          <w:sz w:val="24"/>
          <w:szCs w:val="24"/>
          <w:shd w:val="clear" w:color="auto" w:fill="FFFFFF"/>
        </w:rPr>
        <w:t xml:space="preserve"> BCG. Spółka buduje ponadto szersze struktury marketingowo-sprzedażowe, dostosowane do skalowanego biznesu.</w:t>
      </w:r>
      <w:bookmarkEnd w:id="0"/>
    </w:p>
    <w:p w14:paraId="05303F32" w14:textId="77777777" w:rsidR="00B51D84" w:rsidRDefault="00B51D84" w:rsidP="00B51D84">
      <w:pPr>
        <w:jc w:val="both"/>
      </w:pPr>
    </w:p>
    <w:sectPr w:rsidR="00B51D84" w:rsidSect="00B51D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D84"/>
    <w:rsid w:val="00885BA3"/>
    <w:rsid w:val="00B51D84"/>
    <w:rsid w:val="00B71235"/>
    <w:rsid w:val="00ED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473D7"/>
  <w15:chartTrackingRefBased/>
  <w15:docId w15:val="{090140A6-93E0-8940-99D3-C3E1A8BC9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D84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1D8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1D8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1D8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1D8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1D8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1D8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1D8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1D8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1D8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1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1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1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1D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1D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1D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1D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1D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1D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1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51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1D8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51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1D8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51D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1D8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51D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1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1D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1D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Makarczyk</dc:creator>
  <cp:keywords/>
  <dc:description/>
  <cp:lastModifiedBy>Maciek</cp:lastModifiedBy>
  <cp:revision>2</cp:revision>
  <dcterms:created xsi:type="dcterms:W3CDTF">2024-09-10T10:13:00Z</dcterms:created>
  <dcterms:modified xsi:type="dcterms:W3CDTF">2024-09-10T10:13:00Z</dcterms:modified>
</cp:coreProperties>
</file>