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858737" w14:textId="4BE6587A" w:rsidR="00C9795B" w:rsidRPr="00F70189" w:rsidRDefault="004D4084" w:rsidP="00ED2095">
      <w:pPr>
        <w:spacing w:line="276" w:lineRule="auto"/>
        <w:jc w:val="center"/>
        <w:rPr>
          <w:b/>
          <w:bCs/>
          <w:sz w:val="36"/>
          <w:szCs w:val="36"/>
        </w:rPr>
      </w:pPr>
      <w:bookmarkStart w:id="0" w:name="_GoBack"/>
      <w:bookmarkEnd w:id="0"/>
      <w:proofErr w:type="spellStart"/>
      <w:r>
        <w:rPr>
          <w:b/>
          <w:bCs/>
          <w:sz w:val="36"/>
          <w:szCs w:val="36"/>
        </w:rPr>
        <w:t>Aplisens</w:t>
      </w:r>
      <w:proofErr w:type="spellEnd"/>
      <w:r>
        <w:rPr>
          <w:b/>
          <w:bCs/>
          <w:sz w:val="36"/>
          <w:szCs w:val="36"/>
        </w:rPr>
        <w:t xml:space="preserve">: </w:t>
      </w:r>
      <w:r w:rsidR="00F95565">
        <w:rPr>
          <w:b/>
          <w:bCs/>
          <w:sz w:val="36"/>
          <w:szCs w:val="36"/>
        </w:rPr>
        <w:t>Przystanek przed kolejnymi wzrostami</w:t>
      </w:r>
      <w:r w:rsidR="009B1E24">
        <w:rPr>
          <w:b/>
          <w:bCs/>
          <w:sz w:val="36"/>
          <w:szCs w:val="36"/>
        </w:rPr>
        <w:t>?</w:t>
      </w:r>
    </w:p>
    <w:p w14:paraId="27A10048" w14:textId="77777777" w:rsidR="00C9795B" w:rsidRPr="00C800E8" w:rsidRDefault="00512EC8" w:rsidP="00F70189">
      <w:pPr>
        <w:spacing w:line="276" w:lineRule="auto"/>
        <w:jc w:val="both"/>
        <w:rPr>
          <w:b/>
          <w:bCs/>
          <w:sz w:val="24"/>
          <w:szCs w:val="24"/>
        </w:rPr>
      </w:pPr>
      <w:r w:rsidRPr="00C800E8">
        <w:rPr>
          <w:b/>
          <w:bCs/>
          <w:sz w:val="24"/>
          <w:szCs w:val="24"/>
        </w:rPr>
        <w:t xml:space="preserve">Grupa Kapitałowa </w:t>
      </w:r>
      <w:proofErr w:type="spellStart"/>
      <w:r w:rsidRPr="00C800E8">
        <w:rPr>
          <w:b/>
          <w:bCs/>
          <w:sz w:val="24"/>
          <w:szCs w:val="24"/>
        </w:rPr>
        <w:t>Aplisens</w:t>
      </w:r>
      <w:proofErr w:type="spellEnd"/>
      <w:r w:rsidRPr="00C800E8">
        <w:rPr>
          <w:b/>
          <w:bCs/>
          <w:sz w:val="24"/>
          <w:szCs w:val="24"/>
        </w:rPr>
        <w:t>, lider w branży aparatury kontrolno-pomiarowej, opublikowała wyniki finansowe za pierwsze półrocze 2024 roku. Pomimo niekorzystnych warunków rynkowych</w:t>
      </w:r>
      <w:r w:rsidR="00CF083A" w:rsidRPr="00C800E8">
        <w:rPr>
          <w:b/>
          <w:bCs/>
          <w:sz w:val="24"/>
          <w:szCs w:val="24"/>
        </w:rPr>
        <w:t>, stagnacji na rynkach europejskich</w:t>
      </w:r>
      <w:r w:rsidRPr="00C800E8">
        <w:rPr>
          <w:b/>
          <w:bCs/>
          <w:sz w:val="24"/>
          <w:szCs w:val="24"/>
        </w:rPr>
        <w:t xml:space="preserve"> i presji inflacyjnej, Spółka zdołała utrzymać solidne fundamenty finansowe, notując przychody na poziomie 78,6 mln zł, co oznacza spadek o 2,2</w:t>
      </w:r>
      <w:r w:rsidR="00CF083A" w:rsidRPr="00C800E8">
        <w:rPr>
          <w:b/>
          <w:bCs/>
          <w:sz w:val="24"/>
          <w:szCs w:val="24"/>
        </w:rPr>
        <w:t xml:space="preserve"> </w:t>
      </w:r>
      <w:r w:rsidR="00C9795B" w:rsidRPr="00C800E8">
        <w:rPr>
          <w:b/>
          <w:bCs/>
          <w:sz w:val="24"/>
          <w:szCs w:val="24"/>
        </w:rPr>
        <w:t>proc.</w:t>
      </w:r>
      <w:r w:rsidRPr="00C800E8">
        <w:rPr>
          <w:b/>
          <w:bCs/>
          <w:sz w:val="24"/>
          <w:szCs w:val="24"/>
        </w:rPr>
        <w:t xml:space="preserve"> w porównaniu do analogicznego okresu ubiegłego roku. Zysk netto wyniósł 12,75 mln zł, co stanowi spadek o 27,6</w:t>
      </w:r>
      <w:r w:rsidR="00C9795B" w:rsidRPr="00C800E8">
        <w:rPr>
          <w:b/>
          <w:bCs/>
          <w:sz w:val="24"/>
          <w:szCs w:val="24"/>
        </w:rPr>
        <w:t xml:space="preserve"> proc.</w:t>
      </w:r>
      <w:r w:rsidRPr="00C800E8">
        <w:rPr>
          <w:b/>
          <w:bCs/>
          <w:sz w:val="24"/>
          <w:szCs w:val="24"/>
        </w:rPr>
        <w:t xml:space="preserve"> r/r. </w:t>
      </w:r>
      <w:r w:rsidR="00C9795B" w:rsidRPr="00C800E8">
        <w:rPr>
          <w:b/>
          <w:bCs/>
          <w:sz w:val="24"/>
          <w:szCs w:val="24"/>
        </w:rPr>
        <w:t xml:space="preserve">Mimo wyzwań, </w:t>
      </w:r>
      <w:proofErr w:type="spellStart"/>
      <w:r w:rsidR="00C9795B" w:rsidRPr="00C800E8">
        <w:rPr>
          <w:b/>
          <w:bCs/>
          <w:sz w:val="24"/>
          <w:szCs w:val="24"/>
        </w:rPr>
        <w:t>Aplisens</w:t>
      </w:r>
      <w:proofErr w:type="spellEnd"/>
      <w:r w:rsidR="00C9795B" w:rsidRPr="00C800E8">
        <w:rPr>
          <w:b/>
          <w:bCs/>
          <w:sz w:val="24"/>
          <w:szCs w:val="24"/>
        </w:rPr>
        <w:t xml:space="preserve"> z optymizmem patrzy w przyszłość, koncentrując się na realizacji strategii wzrostu i dywersyfikacji geograficznej. Spółka podtrzymuje ambicje osiągnięcia wyznaczonych </w:t>
      </w:r>
      <w:r w:rsidR="00CF083A" w:rsidRPr="00C800E8">
        <w:rPr>
          <w:b/>
          <w:bCs/>
          <w:sz w:val="24"/>
          <w:szCs w:val="24"/>
        </w:rPr>
        <w:t xml:space="preserve">w strategii </w:t>
      </w:r>
      <w:r w:rsidR="00C9795B" w:rsidRPr="00C800E8">
        <w:rPr>
          <w:b/>
          <w:bCs/>
          <w:sz w:val="24"/>
          <w:szCs w:val="24"/>
        </w:rPr>
        <w:t>celów finansowych na 2024 rok.</w:t>
      </w:r>
    </w:p>
    <w:p w14:paraId="66947F94" w14:textId="77777777" w:rsidR="00512EC8" w:rsidRPr="00C800E8" w:rsidRDefault="00512EC8" w:rsidP="00F70189">
      <w:pPr>
        <w:spacing w:line="276" w:lineRule="auto"/>
        <w:jc w:val="both"/>
        <w:rPr>
          <w:sz w:val="24"/>
          <w:szCs w:val="24"/>
        </w:rPr>
      </w:pPr>
      <w:r w:rsidRPr="00C800E8">
        <w:rPr>
          <w:sz w:val="24"/>
          <w:szCs w:val="24"/>
        </w:rPr>
        <w:t xml:space="preserve">Głównym rynkiem operacyjnym </w:t>
      </w:r>
      <w:proofErr w:type="spellStart"/>
      <w:r w:rsidR="00C800E8" w:rsidRPr="00C800E8">
        <w:rPr>
          <w:sz w:val="24"/>
          <w:szCs w:val="24"/>
        </w:rPr>
        <w:t>Aplisensa</w:t>
      </w:r>
      <w:proofErr w:type="spellEnd"/>
      <w:r w:rsidR="00C800E8" w:rsidRPr="00C800E8">
        <w:rPr>
          <w:sz w:val="24"/>
          <w:szCs w:val="24"/>
        </w:rPr>
        <w:t xml:space="preserve"> </w:t>
      </w:r>
      <w:r w:rsidRPr="00C800E8">
        <w:rPr>
          <w:sz w:val="24"/>
          <w:szCs w:val="24"/>
        </w:rPr>
        <w:t>pozostaje rynek krajowy, na którym przychody wzrosły o 1</w:t>
      </w:r>
      <w:r w:rsidR="000779D9" w:rsidRPr="00C800E8">
        <w:rPr>
          <w:sz w:val="24"/>
          <w:szCs w:val="24"/>
        </w:rPr>
        <w:t xml:space="preserve"> </w:t>
      </w:r>
      <w:r w:rsidR="00C9795B" w:rsidRPr="00C800E8">
        <w:rPr>
          <w:sz w:val="24"/>
          <w:szCs w:val="24"/>
        </w:rPr>
        <w:t>proc.</w:t>
      </w:r>
      <w:r w:rsidRPr="00C800E8">
        <w:rPr>
          <w:sz w:val="24"/>
          <w:szCs w:val="24"/>
        </w:rPr>
        <w:t xml:space="preserve"> r/r do 31 mln zł, co stanowi 39,5</w:t>
      </w:r>
      <w:r w:rsidR="00CF083A" w:rsidRPr="00C800E8">
        <w:rPr>
          <w:sz w:val="24"/>
          <w:szCs w:val="24"/>
        </w:rPr>
        <w:t xml:space="preserve"> </w:t>
      </w:r>
      <w:r w:rsidR="00C9795B" w:rsidRPr="00C800E8">
        <w:rPr>
          <w:sz w:val="24"/>
          <w:szCs w:val="24"/>
        </w:rPr>
        <w:t>proc.</w:t>
      </w:r>
      <w:r w:rsidRPr="00C800E8">
        <w:rPr>
          <w:sz w:val="24"/>
          <w:szCs w:val="24"/>
        </w:rPr>
        <w:t xml:space="preserve"> udziału w całkowitej sprzedaży Grupy. </w:t>
      </w:r>
      <w:r w:rsidR="00CF083A" w:rsidRPr="00C800E8">
        <w:rPr>
          <w:sz w:val="24"/>
          <w:szCs w:val="24"/>
        </w:rPr>
        <w:t>Pozytywne wyniki zostały odnotowane na rynkach pozaeuropejskich, które wykazały się 6,5-proc. dynamiką wzrostu sprzedaży. Gorsze wyniki r/r zostały zaś odnotowane na rynkach europejskich. Pa</w:t>
      </w:r>
      <w:r w:rsidR="004C1FE5">
        <w:rPr>
          <w:sz w:val="24"/>
          <w:szCs w:val="24"/>
        </w:rPr>
        <w:t>n</w:t>
      </w:r>
      <w:r w:rsidR="00CF083A" w:rsidRPr="00C800E8">
        <w:rPr>
          <w:sz w:val="24"/>
          <w:szCs w:val="24"/>
        </w:rPr>
        <w:t xml:space="preserve">ująca stagnacja w wielu branżach obsługiwanych przez Spółkę spowodowała </w:t>
      </w:r>
      <w:r w:rsidRPr="00C800E8">
        <w:rPr>
          <w:sz w:val="24"/>
          <w:szCs w:val="24"/>
        </w:rPr>
        <w:t>spadek przychodów o 11,1</w:t>
      </w:r>
      <w:r w:rsidR="00CF083A" w:rsidRPr="00C800E8">
        <w:rPr>
          <w:sz w:val="24"/>
          <w:szCs w:val="24"/>
        </w:rPr>
        <w:t xml:space="preserve"> </w:t>
      </w:r>
      <w:r w:rsidR="00C9795B" w:rsidRPr="00C800E8">
        <w:rPr>
          <w:sz w:val="24"/>
          <w:szCs w:val="24"/>
        </w:rPr>
        <w:t>proc.</w:t>
      </w:r>
      <w:r w:rsidRPr="00C800E8">
        <w:rPr>
          <w:sz w:val="24"/>
          <w:szCs w:val="24"/>
        </w:rPr>
        <w:t xml:space="preserve"> r/r do 17,7 mln zł. </w:t>
      </w:r>
    </w:p>
    <w:p w14:paraId="69EF3E29" w14:textId="77777777" w:rsidR="00512EC8" w:rsidRPr="00C800E8" w:rsidRDefault="000779D9" w:rsidP="00F70189">
      <w:pPr>
        <w:spacing w:line="276" w:lineRule="auto"/>
        <w:jc w:val="both"/>
        <w:rPr>
          <w:i/>
          <w:iCs/>
          <w:sz w:val="24"/>
          <w:szCs w:val="24"/>
        </w:rPr>
      </w:pPr>
      <w:r w:rsidRPr="00530FF1">
        <w:rPr>
          <w:i/>
          <w:iCs/>
          <w:sz w:val="24"/>
          <w:szCs w:val="24"/>
        </w:rPr>
        <w:t xml:space="preserve">- Zgodnie z oczekiwaniami drugi kwartał 2024 roku okazał się słabszy przychodowo i wynikowo od pierwszego kwartału 2024 roku. </w:t>
      </w:r>
      <w:r w:rsidR="00512EC8" w:rsidRPr="00530FF1">
        <w:rPr>
          <w:i/>
          <w:iCs/>
          <w:sz w:val="24"/>
          <w:szCs w:val="24"/>
        </w:rPr>
        <w:t xml:space="preserve">Spadek przychodów </w:t>
      </w:r>
      <w:r w:rsidR="00B43B35" w:rsidRPr="00530FF1">
        <w:rPr>
          <w:i/>
          <w:iCs/>
          <w:sz w:val="24"/>
          <w:szCs w:val="24"/>
        </w:rPr>
        <w:t xml:space="preserve">w pierwszym półroczu 2024 roku </w:t>
      </w:r>
      <w:r w:rsidR="00512EC8" w:rsidRPr="00530FF1">
        <w:rPr>
          <w:i/>
          <w:iCs/>
          <w:sz w:val="24"/>
          <w:szCs w:val="24"/>
        </w:rPr>
        <w:t>o 2,2</w:t>
      </w:r>
      <w:r w:rsidR="00C9795B" w:rsidRPr="00530FF1">
        <w:rPr>
          <w:i/>
          <w:iCs/>
          <w:sz w:val="24"/>
          <w:szCs w:val="24"/>
        </w:rPr>
        <w:t xml:space="preserve"> proc.</w:t>
      </w:r>
      <w:r w:rsidR="00512EC8" w:rsidRPr="00530FF1">
        <w:rPr>
          <w:i/>
          <w:iCs/>
          <w:sz w:val="24"/>
          <w:szCs w:val="24"/>
        </w:rPr>
        <w:t xml:space="preserve"> to przede wszystkim efekt </w:t>
      </w:r>
      <w:r w:rsidR="00530FF1">
        <w:rPr>
          <w:i/>
          <w:iCs/>
          <w:sz w:val="24"/>
          <w:szCs w:val="24"/>
        </w:rPr>
        <w:t xml:space="preserve">wysokiej bazy porównawczej oraz </w:t>
      </w:r>
      <w:r w:rsidR="00CF083A" w:rsidRPr="00530FF1">
        <w:rPr>
          <w:i/>
          <w:iCs/>
          <w:sz w:val="24"/>
          <w:szCs w:val="24"/>
        </w:rPr>
        <w:t>stagnacji</w:t>
      </w:r>
      <w:r w:rsidR="00530FF1">
        <w:rPr>
          <w:i/>
          <w:iCs/>
          <w:sz w:val="24"/>
          <w:szCs w:val="24"/>
        </w:rPr>
        <w:t xml:space="preserve"> na rynkach europejskich i rynku krajowym</w:t>
      </w:r>
      <w:r w:rsidRPr="00530FF1">
        <w:rPr>
          <w:i/>
          <w:iCs/>
          <w:sz w:val="24"/>
          <w:szCs w:val="24"/>
        </w:rPr>
        <w:t>.</w:t>
      </w:r>
      <w:r w:rsidRPr="00C800E8">
        <w:rPr>
          <w:i/>
          <w:iCs/>
          <w:sz w:val="24"/>
          <w:szCs w:val="24"/>
        </w:rPr>
        <w:t xml:space="preserve"> </w:t>
      </w:r>
      <w:r w:rsidR="00F95565">
        <w:rPr>
          <w:i/>
          <w:iCs/>
          <w:sz w:val="24"/>
          <w:szCs w:val="24"/>
        </w:rPr>
        <w:t>N</w:t>
      </w:r>
      <w:r w:rsidRPr="00C800E8">
        <w:rPr>
          <w:i/>
          <w:iCs/>
          <w:sz w:val="24"/>
          <w:szCs w:val="24"/>
        </w:rPr>
        <w:t>iższa</w:t>
      </w:r>
      <w:r w:rsidR="000B73AB" w:rsidRPr="00C800E8">
        <w:rPr>
          <w:i/>
          <w:iCs/>
          <w:sz w:val="24"/>
          <w:szCs w:val="24"/>
        </w:rPr>
        <w:t xml:space="preserve"> rentownoś</w:t>
      </w:r>
      <w:r w:rsidRPr="00C800E8">
        <w:rPr>
          <w:i/>
          <w:iCs/>
          <w:sz w:val="24"/>
          <w:szCs w:val="24"/>
        </w:rPr>
        <w:t>ć</w:t>
      </w:r>
      <w:r w:rsidR="00530FF1">
        <w:rPr>
          <w:i/>
          <w:iCs/>
          <w:sz w:val="24"/>
          <w:szCs w:val="24"/>
        </w:rPr>
        <w:t xml:space="preserve"> </w:t>
      </w:r>
      <w:r w:rsidR="000B73AB" w:rsidRPr="00C800E8">
        <w:rPr>
          <w:i/>
          <w:iCs/>
          <w:sz w:val="24"/>
          <w:szCs w:val="24"/>
        </w:rPr>
        <w:t>był</w:t>
      </w:r>
      <w:r w:rsidRPr="00C800E8">
        <w:rPr>
          <w:i/>
          <w:iCs/>
          <w:sz w:val="24"/>
          <w:szCs w:val="24"/>
        </w:rPr>
        <w:t>a</w:t>
      </w:r>
      <w:r w:rsidR="000B73AB" w:rsidRPr="00C800E8">
        <w:rPr>
          <w:i/>
          <w:iCs/>
          <w:sz w:val="24"/>
          <w:szCs w:val="24"/>
        </w:rPr>
        <w:t xml:space="preserve"> wynikiem </w:t>
      </w:r>
      <w:r w:rsidR="00F95565">
        <w:rPr>
          <w:i/>
          <w:iCs/>
          <w:sz w:val="24"/>
          <w:szCs w:val="24"/>
        </w:rPr>
        <w:t>spadku przychodów oraz</w:t>
      </w:r>
      <w:r w:rsidR="00C800E8">
        <w:rPr>
          <w:i/>
          <w:iCs/>
          <w:sz w:val="24"/>
          <w:szCs w:val="24"/>
        </w:rPr>
        <w:t xml:space="preserve"> </w:t>
      </w:r>
      <w:r w:rsidR="00C93884" w:rsidRPr="00C800E8">
        <w:rPr>
          <w:i/>
          <w:iCs/>
          <w:sz w:val="24"/>
          <w:szCs w:val="24"/>
        </w:rPr>
        <w:t>wyższyc</w:t>
      </w:r>
      <w:r w:rsidR="007E77AC" w:rsidRPr="00C800E8">
        <w:rPr>
          <w:i/>
          <w:iCs/>
          <w:sz w:val="24"/>
          <w:szCs w:val="24"/>
        </w:rPr>
        <w:t>h k</w:t>
      </w:r>
      <w:r w:rsidR="00C93884" w:rsidRPr="00C800E8">
        <w:rPr>
          <w:i/>
          <w:iCs/>
          <w:sz w:val="24"/>
          <w:szCs w:val="24"/>
        </w:rPr>
        <w:t>oszt</w:t>
      </w:r>
      <w:r w:rsidR="007E77AC" w:rsidRPr="00C800E8">
        <w:rPr>
          <w:i/>
          <w:iCs/>
          <w:sz w:val="24"/>
          <w:szCs w:val="24"/>
        </w:rPr>
        <w:t>ów</w:t>
      </w:r>
      <w:r w:rsidR="00C93884" w:rsidRPr="00C800E8">
        <w:rPr>
          <w:i/>
          <w:iCs/>
          <w:sz w:val="24"/>
          <w:szCs w:val="24"/>
        </w:rPr>
        <w:t xml:space="preserve"> wynagrodzeń.</w:t>
      </w:r>
      <w:r w:rsidR="000B73AB" w:rsidRPr="00C800E8">
        <w:rPr>
          <w:i/>
          <w:iCs/>
          <w:sz w:val="24"/>
          <w:szCs w:val="24"/>
        </w:rPr>
        <w:t xml:space="preserve"> Mimo to, dzięki naszej </w:t>
      </w:r>
      <w:r w:rsidR="009B1E24">
        <w:rPr>
          <w:i/>
          <w:iCs/>
          <w:sz w:val="24"/>
          <w:szCs w:val="24"/>
        </w:rPr>
        <w:t>dużej elastyczności</w:t>
      </w:r>
      <w:r w:rsidR="00B43B35">
        <w:rPr>
          <w:i/>
          <w:iCs/>
          <w:sz w:val="24"/>
          <w:szCs w:val="24"/>
        </w:rPr>
        <w:t xml:space="preserve">, </w:t>
      </w:r>
      <w:r w:rsidR="00972E4F">
        <w:rPr>
          <w:i/>
          <w:iCs/>
          <w:sz w:val="24"/>
          <w:szCs w:val="24"/>
        </w:rPr>
        <w:t>ciągle</w:t>
      </w:r>
      <w:r w:rsidR="00B43B35">
        <w:rPr>
          <w:i/>
          <w:iCs/>
          <w:sz w:val="24"/>
          <w:szCs w:val="24"/>
        </w:rPr>
        <w:t xml:space="preserve"> rozszerzan</w:t>
      </w:r>
      <w:r w:rsidR="00972E4F">
        <w:rPr>
          <w:i/>
          <w:iCs/>
          <w:sz w:val="24"/>
          <w:szCs w:val="24"/>
        </w:rPr>
        <w:t>ej</w:t>
      </w:r>
      <w:r w:rsidR="00B43B35">
        <w:rPr>
          <w:i/>
          <w:iCs/>
          <w:sz w:val="24"/>
          <w:szCs w:val="24"/>
        </w:rPr>
        <w:t xml:space="preserve"> i modernizowan</w:t>
      </w:r>
      <w:r w:rsidR="00972E4F">
        <w:rPr>
          <w:i/>
          <w:iCs/>
          <w:sz w:val="24"/>
          <w:szCs w:val="24"/>
        </w:rPr>
        <w:t>ej</w:t>
      </w:r>
      <w:r w:rsidR="00B43B35">
        <w:rPr>
          <w:i/>
          <w:iCs/>
          <w:sz w:val="24"/>
          <w:szCs w:val="24"/>
        </w:rPr>
        <w:t xml:space="preserve"> rodzin</w:t>
      </w:r>
      <w:r w:rsidR="00972E4F">
        <w:rPr>
          <w:i/>
          <w:iCs/>
          <w:sz w:val="24"/>
          <w:szCs w:val="24"/>
        </w:rPr>
        <w:t>ie</w:t>
      </w:r>
      <w:r w:rsidR="00B43B35">
        <w:rPr>
          <w:i/>
          <w:iCs/>
          <w:sz w:val="24"/>
          <w:szCs w:val="24"/>
        </w:rPr>
        <w:t xml:space="preserve"> </w:t>
      </w:r>
      <w:r w:rsidR="00972E4F">
        <w:rPr>
          <w:i/>
          <w:iCs/>
          <w:sz w:val="24"/>
          <w:szCs w:val="24"/>
        </w:rPr>
        <w:t>produktów oraz</w:t>
      </w:r>
      <w:r w:rsidR="00B43B35">
        <w:rPr>
          <w:i/>
          <w:iCs/>
          <w:sz w:val="24"/>
          <w:szCs w:val="24"/>
        </w:rPr>
        <w:t xml:space="preserve"> </w:t>
      </w:r>
      <w:r w:rsidR="00972E4F">
        <w:rPr>
          <w:i/>
          <w:iCs/>
          <w:sz w:val="24"/>
          <w:szCs w:val="24"/>
        </w:rPr>
        <w:t>działaniach marketingowych</w:t>
      </w:r>
      <w:r w:rsidR="000B73AB" w:rsidRPr="00C800E8">
        <w:rPr>
          <w:i/>
          <w:iCs/>
          <w:sz w:val="24"/>
          <w:szCs w:val="24"/>
        </w:rPr>
        <w:t xml:space="preserve"> skoncentrowa</w:t>
      </w:r>
      <w:r w:rsidR="004C1FE5">
        <w:rPr>
          <w:i/>
          <w:iCs/>
          <w:sz w:val="24"/>
          <w:szCs w:val="24"/>
        </w:rPr>
        <w:t>nych</w:t>
      </w:r>
      <w:r w:rsidR="000B73AB" w:rsidRPr="00C800E8">
        <w:rPr>
          <w:i/>
          <w:iCs/>
          <w:sz w:val="24"/>
          <w:szCs w:val="24"/>
        </w:rPr>
        <w:t xml:space="preserve"> na perspektywicznych rynkach </w:t>
      </w:r>
      <w:r w:rsidR="00972E4F">
        <w:rPr>
          <w:i/>
          <w:iCs/>
          <w:sz w:val="24"/>
          <w:szCs w:val="24"/>
        </w:rPr>
        <w:t>gł</w:t>
      </w:r>
      <w:r w:rsidR="004C1FE5">
        <w:rPr>
          <w:i/>
          <w:iCs/>
          <w:sz w:val="24"/>
          <w:szCs w:val="24"/>
        </w:rPr>
        <w:t>ó</w:t>
      </w:r>
      <w:r w:rsidR="00972E4F">
        <w:rPr>
          <w:i/>
          <w:iCs/>
          <w:sz w:val="24"/>
          <w:szCs w:val="24"/>
        </w:rPr>
        <w:t xml:space="preserve">wnie </w:t>
      </w:r>
      <w:r w:rsidR="000B73AB" w:rsidRPr="00C800E8">
        <w:rPr>
          <w:i/>
          <w:iCs/>
          <w:sz w:val="24"/>
          <w:szCs w:val="24"/>
        </w:rPr>
        <w:t xml:space="preserve">pozaeuropejskich, widzimy realne szanse na poprawę wyników w nadchodzących </w:t>
      </w:r>
      <w:r w:rsidR="00F95565">
        <w:rPr>
          <w:i/>
          <w:iCs/>
          <w:sz w:val="24"/>
          <w:szCs w:val="24"/>
        </w:rPr>
        <w:t xml:space="preserve">kwartałach </w:t>
      </w:r>
      <w:r w:rsidR="00512EC8" w:rsidRPr="00C800E8">
        <w:rPr>
          <w:sz w:val="24"/>
          <w:szCs w:val="24"/>
        </w:rPr>
        <w:t xml:space="preserve">– skomentował </w:t>
      </w:r>
      <w:r w:rsidR="00512EC8" w:rsidRPr="00F70189">
        <w:rPr>
          <w:b/>
          <w:bCs/>
          <w:sz w:val="24"/>
          <w:szCs w:val="24"/>
        </w:rPr>
        <w:t xml:space="preserve">Adam Żurawski, prezes </w:t>
      </w:r>
      <w:proofErr w:type="spellStart"/>
      <w:r w:rsidR="00512EC8" w:rsidRPr="00F70189">
        <w:rPr>
          <w:b/>
          <w:bCs/>
          <w:sz w:val="24"/>
          <w:szCs w:val="24"/>
        </w:rPr>
        <w:t>Aplisens</w:t>
      </w:r>
      <w:proofErr w:type="spellEnd"/>
      <w:r w:rsidR="00512EC8" w:rsidRPr="00F70189">
        <w:rPr>
          <w:b/>
          <w:bCs/>
          <w:sz w:val="24"/>
          <w:szCs w:val="24"/>
        </w:rPr>
        <w:t>.</w:t>
      </w:r>
    </w:p>
    <w:p w14:paraId="1A308C3B" w14:textId="77777777" w:rsidR="00512EC8" w:rsidRPr="00C800E8" w:rsidRDefault="000B73AB" w:rsidP="00F70189">
      <w:pPr>
        <w:spacing w:line="276" w:lineRule="auto"/>
        <w:jc w:val="both"/>
        <w:rPr>
          <w:sz w:val="24"/>
          <w:szCs w:val="24"/>
        </w:rPr>
      </w:pPr>
      <w:r w:rsidRPr="00C800E8">
        <w:rPr>
          <w:sz w:val="24"/>
          <w:szCs w:val="24"/>
        </w:rPr>
        <w:t xml:space="preserve">W pierwszym półroczu 2024 roku inwestycje </w:t>
      </w:r>
      <w:proofErr w:type="spellStart"/>
      <w:r w:rsidRPr="00C800E8">
        <w:rPr>
          <w:sz w:val="24"/>
          <w:szCs w:val="24"/>
        </w:rPr>
        <w:t>Aplisensa</w:t>
      </w:r>
      <w:proofErr w:type="spellEnd"/>
      <w:r w:rsidRPr="00C800E8">
        <w:rPr>
          <w:sz w:val="24"/>
          <w:szCs w:val="24"/>
        </w:rPr>
        <w:t xml:space="preserve"> wyniosły 6,11 mln zł, zakup maszyn i urządzeń pochłonął 4,83 mln zł a wydatki na badania i rozwój oraz certyfikaty 1,29 mln zł.</w:t>
      </w:r>
    </w:p>
    <w:p w14:paraId="53806509" w14:textId="77777777" w:rsidR="00512EC8" w:rsidRPr="00C800E8" w:rsidRDefault="00512EC8" w:rsidP="00F70189">
      <w:pPr>
        <w:spacing w:line="276" w:lineRule="auto"/>
        <w:jc w:val="both"/>
        <w:rPr>
          <w:sz w:val="24"/>
          <w:szCs w:val="24"/>
        </w:rPr>
      </w:pPr>
      <w:r w:rsidRPr="00C800E8">
        <w:rPr>
          <w:sz w:val="24"/>
          <w:szCs w:val="24"/>
        </w:rPr>
        <w:t xml:space="preserve">Spółka kontynuowała także politykę dywidendową i skup akcji własnych, przeznaczając na te cele łącznie 19 mln zł. W ramach skupu akcji własnych </w:t>
      </w:r>
      <w:proofErr w:type="spellStart"/>
      <w:r w:rsidRPr="00C800E8">
        <w:rPr>
          <w:sz w:val="24"/>
          <w:szCs w:val="24"/>
        </w:rPr>
        <w:t>Aplisens</w:t>
      </w:r>
      <w:proofErr w:type="spellEnd"/>
      <w:r w:rsidRPr="00C800E8">
        <w:rPr>
          <w:sz w:val="24"/>
          <w:szCs w:val="24"/>
        </w:rPr>
        <w:t xml:space="preserve"> skupił 352.252 walory za 7,9 mln zł, a w formie dywidendy do akcjonariuszy trafiło 11,1 mln zł.</w:t>
      </w:r>
    </w:p>
    <w:p w14:paraId="7FB0ED8C" w14:textId="77777777" w:rsidR="00512EC8" w:rsidRPr="00C800E8" w:rsidRDefault="00512EC8" w:rsidP="00F70189">
      <w:pPr>
        <w:spacing w:line="276" w:lineRule="auto"/>
        <w:jc w:val="both"/>
        <w:rPr>
          <w:sz w:val="24"/>
          <w:szCs w:val="24"/>
        </w:rPr>
      </w:pPr>
    </w:p>
    <w:p w14:paraId="4196078D" w14:textId="77777777" w:rsidR="004E0A2F" w:rsidRDefault="004E0A2F" w:rsidP="00F70189">
      <w:pPr>
        <w:spacing w:line="276" w:lineRule="auto"/>
        <w:jc w:val="both"/>
      </w:pPr>
    </w:p>
    <w:sectPr w:rsidR="004E0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EC8"/>
    <w:rsid w:val="000779D9"/>
    <w:rsid w:val="000B73AB"/>
    <w:rsid w:val="00330889"/>
    <w:rsid w:val="004C1FE5"/>
    <w:rsid w:val="004D4084"/>
    <w:rsid w:val="004E0A2F"/>
    <w:rsid w:val="00505D50"/>
    <w:rsid w:val="00512EC8"/>
    <w:rsid w:val="00530FF1"/>
    <w:rsid w:val="0058346D"/>
    <w:rsid w:val="00697A59"/>
    <w:rsid w:val="006E37DF"/>
    <w:rsid w:val="00715D05"/>
    <w:rsid w:val="007E77AC"/>
    <w:rsid w:val="00972E4F"/>
    <w:rsid w:val="009B1E24"/>
    <w:rsid w:val="009F76CA"/>
    <w:rsid w:val="00A759EE"/>
    <w:rsid w:val="00B3239A"/>
    <w:rsid w:val="00B43B35"/>
    <w:rsid w:val="00C63025"/>
    <w:rsid w:val="00C800E8"/>
    <w:rsid w:val="00C93884"/>
    <w:rsid w:val="00C9795B"/>
    <w:rsid w:val="00CF083A"/>
    <w:rsid w:val="00ED2095"/>
    <w:rsid w:val="00F5231F"/>
    <w:rsid w:val="00F70189"/>
    <w:rsid w:val="00F9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FCE0E"/>
  <w15:chartTrackingRefBased/>
  <w15:docId w15:val="{296A7E38-C862-4434-94B3-A38F8D25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3308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350C6-A25F-4D89-9DB8-2E1EF0338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Maciek</cp:lastModifiedBy>
  <cp:revision>2</cp:revision>
  <dcterms:created xsi:type="dcterms:W3CDTF">2024-09-09T12:06:00Z</dcterms:created>
  <dcterms:modified xsi:type="dcterms:W3CDTF">2024-09-09T12:06:00Z</dcterms:modified>
</cp:coreProperties>
</file>