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CA7539" w14:textId="77777777" w:rsidR="000C6BE1" w:rsidRPr="001B0CBD" w:rsidRDefault="000C6BE1" w:rsidP="00551206">
      <w:pPr>
        <w:spacing w:line="276" w:lineRule="auto"/>
        <w:jc w:val="both"/>
        <w:rPr>
          <w:rFonts w:asciiTheme="majorHAnsi" w:hAnsiTheme="majorHAnsi" w:cstheme="majorHAnsi"/>
          <w:bCs/>
          <w:color w:val="000000" w:themeColor="text1"/>
          <w:sz w:val="20"/>
          <w:szCs w:val="20"/>
        </w:rPr>
      </w:pPr>
    </w:p>
    <w:p w14:paraId="57FFC7F3" w14:textId="390A4DEA" w:rsidR="000C6BE1" w:rsidRDefault="000C6BE1" w:rsidP="00A57CAA">
      <w:pPr>
        <w:spacing w:line="276" w:lineRule="auto"/>
        <w:jc w:val="right"/>
        <w:rPr>
          <w:rFonts w:asciiTheme="majorHAnsi" w:hAnsiTheme="majorHAnsi" w:cstheme="majorHAnsi"/>
          <w:bCs/>
          <w:color w:val="000000" w:themeColor="text1"/>
          <w:sz w:val="20"/>
          <w:szCs w:val="20"/>
        </w:rPr>
      </w:pPr>
      <w:r w:rsidRPr="001B0CBD">
        <w:rPr>
          <w:rFonts w:asciiTheme="majorHAnsi" w:hAnsiTheme="majorHAnsi" w:cstheme="majorHAnsi"/>
          <w:bCs/>
          <w:color w:val="000000" w:themeColor="text1"/>
          <w:sz w:val="20"/>
          <w:szCs w:val="20"/>
        </w:rPr>
        <w:t xml:space="preserve">Poznań, </w:t>
      </w:r>
      <w:r w:rsidR="009E3F85">
        <w:rPr>
          <w:rFonts w:asciiTheme="majorHAnsi" w:hAnsiTheme="majorHAnsi" w:cstheme="majorHAnsi"/>
          <w:bCs/>
          <w:color w:val="000000" w:themeColor="text1"/>
          <w:sz w:val="20"/>
          <w:szCs w:val="20"/>
        </w:rPr>
        <w:t>23</w:t>
      </w:r>
      <w:r w:rsidR="00E14853">
        <w:rPr>
          <w:rFonts w:asciiTheme="majorHAnsi" w:hAnsiTheme="majorHAnsi" w:cstheme="majorHAnsi"/>
          <w:bCs/>
          <w:color w:val="000000" w:themeColor="text1"/>
          <w:sz w:val="20"/>
          <w:szCs w:val="20"/>
        </w:rPr>
        <w:t>.0</w:t>
      </w:r>
      <w:r w:rsidR="00EE0E43">
        <w:rPr>
          <w:rFonts w:asciiTheme="majorHAnsi" w:hAnsiTheme="majorHAnsi" w:cstheme="majorHAnsi"/>
          <w:bCs/>
          <w:color w:val="000000" w:themeColor="text1"/>
          <w:sz w:val="20"/>
          <w:szCs w:val="20"/>
        </w:rPr>
        <w:t>5</w:t>
      </w:r>
      <w:r w:rsidR="00AB5B06">
        <w:rPr>
          <w:rFonts w:asciiTheme="majorHAnsi" w:hAnsiTheme="majorHAnsi" w:cstheme="majorHAnsi"/>
          <w:bCs/>
          <w:color w:val="000000" w:themeColor="text1"/>
          <w:sz w:val="20"/>
          <w:szCs w:val="20"/>
        </w:rPr>
        <w:t>.</w:t>
      </w:r>
      <w:r w:rsidR="00551206" w:rsidRPr="001B0CBD">
        <w:rPr>
          <w:rFonts w:asciiTheme="majorHAnsi" w:hAnsiTheme="majorHAnsi" w:cstheme="majorHAnsi"/>
          <w:bCs/>
          <w:color w:val="000000" w:themeColor="text1"/>
          <w:sz w:val="20"/>
          <w:szCs w:val="20"/>
        </w:rPr>
        <w:t>2024</w:t>
      </w:r>
      <w:r w:rsidRPr="001B0CBD">
        <w:rPr>
          <w:rFonts w:asciiTheme="majorHAnsi" w:hAnsiTheme="majorHAnsi" w:cstheme="majorHAnsi"/>
          <w:bCs/>
          <w:color w:val="000000" w:themeColor="text1"/>
          <w:sz w:val="20"/>
          <w:szCs w:val="20"/>
        </w:rPr>
        <w:t xml:space="preserve"> r.</w:t>
      </w:r>
    </w:p>
    <w:p w14:paraId="6B9ED10E" w14:textId="77777777" w:rsidR="00BF61FE" w:rsidRDefault="00BF61FE" w:rsidP="00A57CAA">
      <w:pPr>
        <w:spacing w:line="276" w:lineRule="auto"/>
        <w:jc w:val="right"/>
        <w:rPr>
          <w:rFonts w:asciiTheme="majorHAnsi" w:hAnsiTheme="majorHAnsi" w:cstheme="majorHAnsi"/>
          <w:bCs/>
          <w:color w:val="000000" w:themeColor="text1"/>
          <w:sz w:val="20"/>
          <w:szCs w:val="20"/>
        </w:rPr>
      </w:pPr>
    </w:p>
    <w:p w14:paraId="37D9CFDF" w14:textId="77777777" w:rsidR="00E2091C" w:rsidRDefault="00E2091C" w:rsidP="00B756A8">
      <w:pPr>
        <w:spacing w:line="276" w:lineRule="auto"/>
        <w:jc w:val="both"/>
        <w:rPr>
          <w:rFonts w:asciiTheme="majorHAnsi" w:hAnsiTheme="majorHAnsi" w:cstheme="majorHAnsi"/>
          <w:bCs/>
          <w:color w:val="000000" w:themeColor="text1"/>
          <w:sz w:val="20"/>
          <w:szCs w:val="20"/>
        </w:rPr>
      </w:pPr>
    </w:p>
    <w:p w14:paraId="738005A1" w14:textId="4CB1448A" w:rsidR="00E2091C" w:rsidRPr="00E2091C" w:rsidRDefault="00E2091C" w:rsidP="00B756A8">
      <w:pPr>
        <w:spacing w:line="276" w:lineRule="auto"/>
        <w:jc w:val="both"/>
        <w:rPr>
          <w:rFonts w:asciiTheme="majorHAnsi" w:hAnsiTheme="majorHAnsi" w:cstheme="majorHAnsi"/>
          <w:b/>
          <w:color w:val="000000" w:themeColor="text1"/>
          <w:sz w:val="28"/>
          <w:szCs w:val="28"/>
        </w:rPr>
      </w:pPr>
      <w:r w:rsidRPr="00E2091C">
        <w:rPr>
          <w:rFonts w:asciiTheme="majorHAnsi" w:hAnsiTheme="majorHAnsi" w:cstheme="majorHAnsi"/>
          <w:b/>
          <w:color w:val="000000" w:themeColor="text1"/>
          <w:sz w:val="28"/>
          <w:szCs w:val="28"/>
        </w:rPr>
        <w:t xml:space="preserve">Grupa Pekabex </w:t>
      </w:r>
      <w:r w:rsidR="00C90449">
        <w:rPr>
          <w:rFonts w:asciiTheme="majorHAnsi" w:hAnsiTheme="majorHAnsi" w:cstheme="majorHAnsi"/>
          <w:b/>
          <w:color w:val="000000" w:themeColor="text1"/>
          <w:sz w:val="28"/>
          <w:szCs w:val="28"/>
        </w:rPr>
        <w:t>przygotowuje się do poprawy koniunktury</w:t>
      </w:r>
    </w:p>
    <w:p w14:paraId="67B00F99" w14:textId="77777777" w:rsidR="00E2091C" w:rsidRDefault="00E2091C" w:rsidP="00B756A8">
      <w:pPr>
        <w:spacing w:line="276" w:lineRule="auto"/>
        <w:jc w:val="both"/>
        <w:rPr>
          <w:rFonts w:asciiTheme="majorHAnsi" w:hAnsiTheme="majorHAnsi" w:cstheme="majorHAnsi"/>
          <w:bCs/>
          <w:color w:val="000000" w:themeColor="text1"/>
          <w:sz w:val="20"/>
          <w:szCs w:val="20"/>
        </w:rPr>
      </w:pPr>
    </w:p>
    <w:p w14:paraId="5C42AF6A" w14:textId="77777777" w:rsidR="00E2091C" w:rsidRDefault="00E2091C" w:rsidP="00B756A8">
      <w:pPr>
        <w:spacing w:line="276" w:lineRule="auto"/>
        <w:jc w:val="both"/>
        <w:rPr>
          <w:rFonts w:asciiTheme="majorHAnsi" w:hAnsiTheme="majorHAnsi" w:cstheme="majorHAnsi"/>
          <w:bCs/>
          <w:color w:val="000000" w:themeColor="text1"/>
          <w:sz w:val="20"/>
          <w:szCs w:val="20"/>
        </w:rPr>
      </w:pPr>
    </w:p>
    <w:p w14:paraId="44205AB4" w14:textId="7BB61D91" w:rsidR="0056542A" w:rsidRPr="0056542A" w:rsidRDefault="00E2091C" w:rsidP="00B756A8">
      <w:pPr>
        <w:spacing w:line="276" w:lineRule="auto"/>
        <w:jc w:val="both"/>
        <w:rPr>
          <w:rFonts w:asciiTheme="majorHAnsi" w:hAnsiTheme="majorHAnsi" w:cstheme="majorHAnsi"/>
          <w:b/>
          <w:color w:val="000000" w:themeColor="text1"/>
        </w:rPr>
      </w:pPr>
      <w:r w:rsidRPr="0056542A">
        <w:rPr>
          <w:rFonts w:asciiTheme="majorHAnsi" w:hAnsiTheme="majorHAnsi" w:cstheme="majorHAnsi"/>
          <w:b/>
          <w:color w:val="000000" w:themeColor="text1"/>
        </w:rPr>
        <w:t xml:space="preserve">Lider nowoczesnego budownictwa systemowego w Polsce </w:t>
      </w:r>
      <w:r w:rsidR="007076A0" w:rsidRPr="0056542A">
        <w:rPr>
          <w:rFonts w:asciiTheme="majorHAnsi" w:hAnsiTheme="majorHAnsi" w:cstheme="majorHAnsi"/>
          <w:b/>
          <w:color w:val="000000" w:themeColor="text1"/>
        </w:rPr>
        <w:t xml:space="preserve">zanotował </w:t>
      </w:r>
      <w:bookmarkStart w:id="0" w:name="_Hlk167279635"/>
      <w:r w:rsidR="007076A0" w:rsidRPr="0056542A">
        <w:rPr>
          <w:rFonts w:asciiTheme="majorHAnsi" w:hAnsiTheme="majorHAnsi" w:cstheme="majorHAnsi"/>
          <w:b/>
          <w:color w:val="000000" w:themeColor="text1"/>
        </w:rPr>
        <w:t>w pierwszym kwartale 2024 roku 324,57 mln zł skonsolidowanych przychodów ze sprzedaży (-16,15 proc. rdr)</w:t>
      </w:r>
      <w:r w:rsidR="0056542A" w:rsidRPr="0056542A">
        <w:rPr>
          <w:rFonts w:asciiTheme="majorHAnsi" w:hAnsiTheme="majorHAnsi" w:cstheme="majorHAnsi"/>
          <w:b/>
          <w:color w:val="000000" w:themeColor="text1"/>
        </w:rPr>
        <w:t xml:space="preserve">. </w:t>
      </w:r>
      <w:r w:rsidR="00374422">
        <w:rPr>
          <w:rFonts w:asciiTheme="majorHAnsi" w:hAnsiTheme="majorHAnsi" w:cstheme="majorHAnsi"/>
          <w:b/>
          <w:color w:val="000000" w:themeColor="text1"/>
        </w:rPr>
        <w:t xml:space="preserve">Grupa może się pochwalić </w:t>
      </w:r>
      <w:r w:rsidR="00656FD1">
        <w:rPr>
          <w:rFonts w:asciiTheme="majorHAnsi" w:hAnsiTheme="majorHAnsi" w:cstheme="majorHAnsi"/>
          <w:b/>
          <w:color w:val="000000" w:themeColor="text1"/>
        </w:rPr>
        <w:t xml:space="preserve">największym jak dotąd </w:t>
      </w:r>
      <w:r w:rsidR="00374422">
        <w:rPr>
          <w:rFonts w:asciiTheme="majorHAnsi" w:hAnsiTheme="majorHAnsi" w:cstheme="majorHAnsi"/>
          <w:b/>
          <w:color w:val="000000" w:themeColor="text1"/>
        </w:rPr>
        <w:t>p</w:t>
      </w:r>
      <w:r w:rsidR="0056542A">
        <w:rPr>
          <w:rFonts w:asciiTheme="majorHAnsi" w:hAnsiTheme="majorHAnsi" w:cstheme="majorHAnsi"/>
          <w:b/>
          <w:color w:val="000000" w:themeColor="text1"/>
        </w:rPr>
        <w:t>ortfel</w:t>
      </w:r>
      <w:r w:rsidR="00374422">
        <w:rPr>
          <w:rFonts w:asciiTheme="majorHAnsi" w:hAnsiTheme="majorHAnsi" w:cstheme="majorHAnsi"/>
          <w:b/>
          <w:color w:val="000000" w:themeColor="text1"/>
        </w:rPr>
        <w:t>em</w:t>
      </w:r>
      <w:r w:rsidR="0056542A">
        <w:rPr>
          <w:rFonts w:asciiTheme="majorHAnsi" w:hAnsiTheme="majorHAnsi" w:cstheme="majorHAnsi"/>
          <w:b/>
          <w:color w:val="000000" w:themeColor="text1"/>
        </w:rPr>
        <w:t xml:space="preserve"> zleceń</w:t>
      </w:r>
      <w:r w:rsidR="008B2E6C">
        <w:rPr>
          <w:rFonts w:asciiTheme="majorHAnsi" w:hAnsiTheme="majorHAnsi" w:cstheme="majorHAnsi"/>
          <w:b/>
          <w:color w:val="000000" w:themeColor="text1"/>
        </w:rPr>
        <w:t xml:space="preserve">, który </w:t>
      </w:r>
      <w:r w:rsidR="0056542A">
        <w:rPr>
          <w:rFonts w:asciiTheme="majorHAnsi" w:hAnsiTheme="majorHAnsi" w:cstheme="majorHAnsi"/>
          <w:b/>
          <w:color w:val="000000" w:themeColor="text1"/>
        </w:rPr>
        <w:t>na koniec marca br. był wyższy rdr o ponad 90 proc. i wynosił 1,85 mld zł</w:t>
      </w:r>
      <w:r w:rsidR="008B2E6C">
        <w:rPr>
          <w:rFonts w:asciiTheme="majorHAnsi" w:hAnsiTheme="majorHAnsi" w:cstheme="majorHAnsi"/>
          <w:b/>
          <w:color w:val="000000" w:themeColor="text1"/>
        </w:rPr>
        <w:t>. Kwota</w:t>
      </w:r>
      <w:r w:rsidR="0056542A">
        <w:rPr>
          <w:rFonts w:asciiTheme="majorHAnsi" w:hAnsiTheme="majorHAnsi" w:cstheme="majorHAnsi"/>
          <w:b/>
          <w:color w:val="000000" w:themeColor="text1"/>
        </w:rPr>
        <w:t xml:space="preserve"> do realizacji </w:t>
      </w:r>
      <w:r w:rsidR="008B2E6C">
        <w:rPr>
          <w:rFonts w:asciiTheme="majorHAnsi" w:hAnsiTheme="majorHAnsi" w:cstheme="majorHAnsi"/>
          <w:b/>
          <w:color w:val="000000" w:themeColor="text1"/>
        </w:rPr>
        <w:t>w tym</w:t>
      </w:r>
      <w:r w:rsidR="003B3890">
        <w:rPr>
          <w:rFonts w:asciiTheme="majorHAnsi" w:hAnsiTheme="majorHAnsi" w:cstheme="majorHAnsi"/>
          <w:b/>
          <w:color w:val="000000" w:themeColor="text1"/>
        </w:rPr>
        <w:t xml:space="preserve"> roku</w:t>
      </w:r>
      <w:r w:rsidR="0056542A">
        <w:rPr>
          <w:rFonts w:asciiTheme="majorHAnsi" w:hAnsiTheme="majorHAnsi" w:cstheme="majorHAnsi"/>
          <w:b/>
          <w:color w:val="000000" w:themeColor="text1"/>
        </w:rPr>
        <w:t xml:space="preserve"> to </w:t>
      </w:r>
      <w:r w:rsidR="0081332A">
        <w:rPr>
          <w:rFonts w:asciiTheme="majorHAnsi" w:hAnsiTheme="majorHAnsi" w:cstheme="majorHAnsi"/>
          <w:b/>
          <w:color w:val="000000" w:themeColor="text1"/>
        </w:rPr>
        <w:t>1,15</w:t>
      </w:r>
      <w:r w:rsidR="0056542A">
        <w:rPr>
          <w:rFonts w:asciiTheme="majorHAnsi" w:hAnsiTheme="majorHAnsi" w:cstheme="majorHAnsi"/>
          <w:b/>
          <w:color w:val="000000" w:themeColor="text1"/>
        </w:rPr>
        <w:t xml:space="preserve"> ml</w:t>
      </w:r>
      <w:r w:rsidR="00B16D29">
        <w:rPr>
          <w:rFonts w:asciiTheme="majorHAnsi" w:hAnsiTheme="majorHAnsi" w:cstheme="majorHAnsi"/>
          <w:b/>
          <w:color w:val="000000" w:themeColor="text1"/>
        </w:rPr>
        <w:t>d</w:t>
      </w:r>
      <w:r w:rsidR="0056542A">
        <w:rPr>
          <w:rFonts w:asciiTheme="majorHAnsi" w:hAnsiTheme="majorHAnsi" w:cstheme="majorHAnsi"/>
          <w:b/>
          <w:color w:val="000000" w:themeColor="text1"/>
        </w:rPr>
        <w:t xml:space="preserve"> zł.</w:t>
      </w:r>
      <w:r w:rsidR="00555026">
        <w:rPr>
          <w:rFonts w:asciiTheme="majorHAnsi" w:hAnsiTheme="majorHAnsi" w:cstheme="majorHAnsi"/>
          <w:b/>
          <w:color w:val="000000" w:themeColor="text1"/>
        </w:rPr>
        <w:t xml:space="preserve"> </w:t>
      </w:r>
    </w:p>
    <w:bookmarkEnd w:id="0"/>
    <w:p w14:paraId="6778D3F4" w14:textId="77777777" w:rsidR="0056542A" w:rsidRPr="0056542A" w:rsidRDefault="0056542A" w:rsidP="00B756A8">
      <w:pPr>
        <w:spacing w:line="276" w:lineRule="auto"/>
        <w:jc w:val="both"/>
        <w:rPr>
          <w:rFonts w:asciiTheme="majorHAnsi" w:hAnsiTheme="majorHAnsi" w:cstheme="majorHAnsi"/>
          <w:b/>
          <w:color w:val="000000" w:themeColor="text1"/>
        </w:rPr>
      </w:pPr>
    </w:p>
    <w:p w14:paraId="2D857C56" w14:textId="259FD4AF" w:rsidR="007076A0" w:rsidRDefault="00374422" w:rsidP="00B756A8">
      <w:pPr>
        <w:spacing w:line="276" w:lineRule="auto"/>
        <w:jc w:val="both"/>
        <w:rPr>
          <w:rFonts w:asciiTheme="majorHAnsi" w:hAnsiTheme="majorHAnsi" w:cstheme="majorHAnsi"/>
          <w:bCs/>
          <w:color w:val="000000" w:themeColor="text1"/>
        </w:rPr>
      </w:pPr>
      <w:bookmarkStart w:id="1" w:name="_Hlk167280373"/>
      <w:r w:rsidRPr="00ED1D4C">
        <w:rPr>
          <w:rFonts w:asciiTheme="majorHAnsi" w:hAnsiTheme="majorHAnsi" w:cstheme="majorHAnsi"/>
          <w:bCs/>
          <w:color w:val="000000" w:themeColor="text1"/>
        </w:rPr>
        <w:t>Spadek przychodów</w:t>
      </w:r>
      <w:r>
        <w:rPr>
          <w:rFonts w:asciiTheme="majorHAnsi" w:hAnsiTheme="majorHAnsi" w:cstheme="majorHAnsi"/>
          <w:bCs/>
          <w:color w:val="000000" w:themeColor="text1"/>
        </w:rPr>
        <w:t xml:space="preserve"> o 16,15 proc. rdr</w:t>
      </w:r>
      <w:r w:rsidRPr="00ED1D4C">
        <w:rPr>
          <w:rFonts w:asciiTheme="majorHAnsi" w:hAnsiTheme="majorHAnsi" w:cstheme="majorHAnsi"/>
          <w:bCs/>
          <w:color w:val="000000" w:themeColor="text1"/>
        </w:rPr>
        <w:t xml:space="preserve"> dotyczył głównie segmentu realizacja kontraktów – prefabrykacja (spadek o 60</w:t>
      </w:r>
      <w:r>
        <w:rPr>
          <w:rFonts w:asciiTheme="majorHAnsi" w:hAnsiTheme="majorHAnsi" w:cstheme="majorHAnsi"/>
          <w:bCs/>
          <w:color w:val="000000" w:themeColor="text1"/>
        </w:rPr>
        <w:t xml:space="preserve">,6 mln </w:t>
      </w:r>
      <w:r w:rsidRPr="00ED1D4C">
        <w:rPr>
          <w:rFonts w:asciiTheme="majorHAnsi" w:hAnsiTheme="majorHAnsi" w:cstheme="majorHAnsi"/>
          <w:bCs/>
          <w:color w:val="000000" w:themeColor="text1"/>
        </w:rPr>
        <w:t xml:space="preserve">zł). </w:t>
      </w:r>
      <w:r w:rsidR="0056542A" w:rsidRPr="00ED1D4C">
        <w:rPr>
          <w:rFonts w:asciiTheme="majorHAnsi" w:hAnsiTheme="majorHAnsi" w:cstheme="majorHAnsi"/>
          <w:bCs/>
          <w:color w:val="000000" w:themeColor="text1"/>
        </w:rPr>
        <w:t xml:space="preserve">Produkcja zrealizowana </w:t>
      </w:r>
      <w:r>
        <w:rPr>
          <w:rFonts w:asciiTheme="majorHAnsi" w:hAnsiTheme="majorHAnsi" w:cstheme="majorHAnsi"/>
          <w:bCs/>
          <w:color w:val="000000" w:themeColor="text1"/>
        </w:rPr>
        <w:t xml:space="preserve">przez Grupę Pekabex </w:t>
      </w:r>
      <w:r w:rsidR="0056542A" w:rsidRPr="00ED1D4C">
        <w:rPr>
          <w:rFonts w:asciiTheme="majorHAnsi" w:hAnsiTheme="majorHAnsi" w:cstheme="majorHAnsi"/>
          <w:bCs/>
          <w:color w:val="000000" w:themeColor="text1"/>
        </w:rPr>
        <w:t>od stycznia do marca 2024 r</w:t>
      </w:r>
      <w:r>
        <w:rPr>
          <w:rFonts w:asciiTheme="majorHAnsi" w:hAnsiTheme="majorHAnsi" w:cstheme="majorHAnsi"/>
          <w:bCs/>
          <w:color w:val="000000" w:themeColor="text1"/>
        </w:rPr>
        <w:t>.</w:t>
      </w:r>
      <w:r w:rsidR="0056542A" w:rsidRPr="00ED1D4C">
        <w:rPr>
          <w:rFonts w:asciiTheme="majorHAnsi" w:hAnsiTheme="majorHAnsi" w:cstheme="majorHAnsi"/>
          <w:bCs/>
          <w:color w:val="000000" w:themeColor="text1"/>
        </w:rPr>
        <w:t xml:space="preserve"> wyniosła 44</w:t>
      </w:r>
      <w:r w:rsidR="00CC0344">
        <w:rPr>
          <w:rFonts w:asciiTheme="majorHAnsi" w:hAnsiTheme="majorHAnsi" w:cstheme="majorHAnsi"/>
          <w:bCs/>
          <w:color w:val="000000" w:themeColor="text1"/>
        </w:rPr>
        <w:t>.</w:t>
      </w:r>
      <w:r w:rsidR="0056542A" w:rsidRPr="00ED1D4C">
        <w:rPr>
          <w:rFonts w:asciiTheme="majorHAnsi" w:hAnsiTheme="majorHAnsi" w:cstheme="majorHAnsi"/>
          <w:bCs/>
          <w:color w:val="000000" w:themeColor="text1"/>
        </w:rPr>
        <w:t xml:space="preserve">260,6 m³ podczas gdy w analogicznym okresie 2023 roku </w:t>
      </w:r>
      <w:r w:rsidR="00CC0344">
        <w:rPr>
          <w:rFonts w:asciiTheme="majorHAnsi" w:hAnsiTheme="majorHAnsi" w:cstheme="majorHAnsi"/>
          <w:bCs/>
          <w:color w:val="000000" w:themeColor="text1"/>
        </w:rPr>
        <w:t xml:space="preserve">było to </w:t>
      </w:r>
      <w:r w:rsidR="0056542A" w:rsidRPr="00ED1D4C">
        <w:rPr>
          <w:rFonts w:asciiTheme="majorHAnsi" w:hAnsiTheme="majorHAnsi" w:cstheme="majorHAnsi"/>
          <w:bCs/>
          <w:color w:val="000000" w:themeColor="text1"/>
        </w:rPr>
        <w:t>57</w:t>
      </w:r>
      <w:r w:rsidR="00CC0344">
        <w:rPr>
          <w:rFonts w:asciiTheme="majorHAnsi" w:hAnsiTheme="majorHAnsi" w:cstheme="majorHAnsi"/>
          <w:bCs/>
          <w:color w:val="000000" w:themeColor="text1"/>
        </w:rPr>
        <w:t>.</w:t>
      </w:r>
      <w:r w:rsidR="0056542A" w:rsidRPr="00ED1D4C">
        <w:rPr>
          <w:rFonts w:asciiTheme="majorHAnsi" w:hAnsiTheme="majorHAnsi" w:cstheme="majorHAnsi"/>
          <w:bCs/>
          <w:color w:val="000000" w:themeColor="text1"/>
        </w:rPr>
        <w:t>544,5 m³, a w 2022 roku 68 361,6 m³.</w:t>
      </w:r>
      <w:r w:rsidR="0081332A" w:rsidRPr="0081332A">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Skonsolidowana </w:t>
      </w:r>
      <w:r w:rsidR="00ED1D4C" w:rsidRPr="00ED1D4C">
        <w:rPr>
          <w:rFonts w:asciiTheme="majorHAnsi" w:hAnsiTheme="majorHAnsi" w:cstheme="majorHAnsi"/>
          <w:bCs/>
          <w:color w:val="000000" w:themeColor="text1"/>
        </w:rPr>
        <w:t xml:space="preserve">EBITDA </w:t>
      </w:r>
      <w:r w:rsidR="0081332A">
        <w:rPr>
          <w:rFonts w:asciiTheme="majorHAnsi" w:hAnsiTheme="majorHAnsi" w:cstheme="majorHAnsi"/>
          <w:bCs/>
          <w:color w:val="000000" w:themeColor="text1"/>
        </w:rPr>
        <w:t xml:space="preserve">wyniosła w I kwartale 2024 roku </w:t>
      </w:r>
      <w:r w:rsidR="00ED1D4C" w:rsidRPr="00ED1D4C">
        <w:rPr>
          <w:rFonts w:asciiTheme="majorHAnsi" w:hAnsiTheme="majorHAnsi" w:cstheme="majorHAnsi"/>
          <w:bCs/>
          <w:color w:val="000000" w:themeColor="text1"/>
        </w:rPr>
        <w:t>23,53 mln zł</w:t>
      </w:r>
      <w:r w:rsidR="00ED1D4C">
        <w:rPr>
          <w:rFonts w:asciiTheme="majorHAnsi" w:hAnsiTheme="majorHAnsi" w:cstheme="majorHAnsi"/>
          <w:bCs/>
          <w:color w:val="000000" w:themeColor="text1"/>
        </w:rPr>
        <w:t xml:space="preserve"> (-45 proc. rdr)</w:t>
      </w:r>
      <w:r w:rsidR="0056542A">
        <w:rPr>
          <w:rFonts w:asciiTheme="majorHAnsi" w:hAnsiTheme="majorHAnsi" w:cstheme="majorHAnsi"/>
          <w:bCs/>
          <w:color w:val="000000" w:themeColor="text1"/>
        </w:rPr>
        <w:t xml:space="preserve">, EBIT </w:t>
      </w:r>
      <w:r w:rsidR="00ED1D4C">
        <w:rPr>
          <w:rFonts w:asciiTheme="majorHAnsi" w:hAnsiTheme="majorHAnsi" w:cstheme="majorHAnsi"/>
          <w:bCs/>
          <w:color w:val="000000" w:themeColor="text1"/>
        </w:rPr>
        <w:t xml:space="preserve"> </w:t>
      </w:r>
      <w:r w:rsidR="0056542A">
        <w:rPr>
          <w:rFonts w:asciiTheme="majorHAnsi" w:hAnsiTheme="majorHAnsi" w:cstheme="majorHAnsi"/>
          <w:bCs/>
          <w:color w:val="000000" w:themeColor="text1"/>
        </w:rPr>
        <w:t xml:space="preserve">15,8 mln zł (-55 proc. rdr) </w:t>
      </w:r>
      <w:r w:rsidR="00ED1D4C">
        <w:rPr>
          <w:rFonts w:asciiTheme="majorHAnsi" w:hAnsiTheme="majorHAnsi" w:cstheme="majorHAnsi"/>
          <w:bCs/>
          <w:color w:val="000000" w:themeColor="text1"/>
        </w:rPr>
        <w:t xml:space="preserve">a zysk netto </w:t>
      </w:r>
      <w:r w:rsidR="0056542A">
        <w:rPr>
          <w:rFonts w:asciiTheme="majorHAnsi" w:hAnsiTheme="majorHAnsi" w:cstheme="majorHAnsi"/>
          <w:bCs/>
          <w:color w:val="000000" w:themeColor="text1"/>
        </w:rPr>
        <w:t>9,42 mln zł (-62 proc. rdr)</w:t>
      </w:r>
      <w:r w:rsidR="003B3890">
        <w:rPr>
          <w:rFonts w:asciiTheme="majorHAnsi" w:hAnsiTheme="majorHAnsi" w:cstheme="majorHAnsi"/>
          <w:bCs/>
          <w:color w:val="000000" w:themeColor="text1"/>
        </w:rPr>
        <w:t>.</w:t>
      </w:r>
    </w:p>
    <w:bookmarkEnd w:id="1"/>
    <w:p w14:paraId="2CB57F90" w14:textId="77777777" w:rsidR="00ED1D4C" w:rsidRPr="00ED1D4C" w:rsidRDefault="00ED1D4C" w:rsidP="00E2091C">
      <w:pPr>
        <w:spacing w:line="276" w:lineRule="auto"/>
        <w:jc w:val="both"/>
        <w:rPr>
          <w:rFonts w:asciiTheme="majorHAnsi" w:hAnsiTheme="majorHAnsi" w:cstheme="majorHAnsi"/>
          <w:bCs/>
          <w:color w:val="000000" w:themeColor="text1"/>
        </w:rPr>
      </w:pPr>
    </w:p>
    <w:p w14:paraId="3E4753C8" w14:textId="0600149B" w:rsidR="000A7353" w:rsidRDefault="001D1BE3" w:rsidP="000A7353">
      <w:pPr>
        <w:spacing w:line="276" w:lineRule="auto"/>
        <w:jc w:val="both"/>
        <w:rPr>
          <w:rFonts w:asciiTheme="majorHAnsi" w:hAnsiTheme="majorHAnsi" w:cstheme="majorHAnsi"/>
          <w:bCs/>
          <w:color w:val="000000" w:themeColor="text1"/>
        </w:rPr>
      </w:pPr>
      <w:r>
        <w:rPr>
          <w:rFonts w:asciiTheme="majorHAnsi" w:hAnsiTheme="majorHAnsi" w:cstheme="majorHAnsi"/>
          <w:bCs/>
          <w:i/>
          <w:iCs/>
          <w:color w:val="000000" w:themeColor="text1"/>
        </w:rPr>
        <w:t xml:space="preserve">- </w:t>
      </w:r>
      <w:r w:rsidR="00AF0D10" w:rsidRPr="00EF673B">
        <w:rPr>
          <w:rFonts w:asciiTheme="majorHAnsi" w:hAnsiTheme="majorHAnsi" w:cstheme="majorHAnsi"/>
          <w:bCs/>
          <w:i/>
          <w:iCs/>
          <w:color w:val="000000" w:themeColor="text1"/>
        </w:rPr>
        <w:t xml:space="preserve">Zarówno druga połowa </w:t>
      </w:r>
      <w:r w:rsidR="00374422" w:rsidRPr="00EF673B">
        <w:rPr>
          <w:rFonts w:asciiTheme="majorHAnsi" w:hAnsiTheme="majorHAnsi" w:cstheme="majorHAnsi"/>
          <w:bCs/>
          <w:i/>
          <w:iCs/>
          <w:color w:val="000000" w:themeColor="text1"/>
        </w:rPr>
        <w:t xml:space="preserve">ubiegłego </w:t>
      </w:r>
      <w:r w:rsidR="00AF0D10" w:rsidRPr="00EF673B">
        <w:rPr>
          <w:rFonts w:asciiTheme="majorHAnsi" w:hAnsiTheme="majorHAnsi" w:cstheme="majorHAnsi"/>
          <w:bCs/>
          <w:i/>
          <w:iCs/>
          <w:color w:val="000000" w:themeColor="text1"/>
        </w:rPr>
        <w:t>roku</w:t>
      </w:r>
      <w:r w:rsidR="00656FD1">
        <w:rPr>
          <w:rFonts w:asciiTheme="majorHAnsi" w:hAnsiTheme="majorHAnsi" w:cstheme="majorHAnsi"/>
          <w:bCs/>
          <w:i/>
          <w:iCs/>
          <w:color w:val="000000" w:themeColor="text1"/>
        </w:rPr>
        <w:t>,</w:t>
      </w:r>
      <w:r w:rsidR="00AF0D10" w:rsidRPr="00EF673B">
        <w:rPr>
          <w:rFonts w:asciiTheme="majorHAnsi" w:hAnsiTheme="majorHAnsi" w:cstheme="majorHAnsi"/>
          <w:bCs/>
          <w:i/>
          <w:iCs/>
          <w:color w:val="000000" w:themeColor="text1"/>
        </w:rPr>
        <w:t xml:space="preserve"> jak również pierwsze miesiące </w:t>
      </w:r>
      <w:r w:rsidR="000A7353" w:rsidRPr="00EF673B">
        <w:rPr>
          <w:rFonts w:asciiTheme="majorHAnsi" w:hAnsiTheme="majorHAnsi" w:cstheme="majorHAnsi"/>
          <w:bCs/>
          <w:i/>
          <w:iCs/>
          <w:color w:val="000000" w:themeColor="text1"/>
        </w:rPr>
        <w:t>2024 roku</w:t>
      </w:r>
      <w:r w:rsidR="00AF0D10" w:rsidRPr="00EF673B">
        <w:rPr>
          <w:rFonts w:asciiTheme="majorHAnsi" w:hAnsiTheme="majorHAnsi" w:cstheme="majorHAnsi"/>
          <w:bCs/>
          <w:i/>
          <w:iCs/>
          <w:color w:val="000000" w:themeColor="text1"/>
        </w:rPr>
        <w:t xml:space="preserve"> były niezwykle trudne dla całej branży budowlanej</w:t>
      </w:r>
      <w:r w:rsidR="000A7353" w:rsidRPr="00EF673B">
        <w:rPr>
          <w:rFonts w:asciiTheme="majorHAnsi" w:hAnsiTheme="majorHAnsi" w:cstheme="majorHAnsi"/>
          <w:bCs/>
          <w:i/>
          <w:iCs/>
          <w:color w:val="000000" w:themeColor="text1"/>
        </w:rPr>
        <w:t xml:space="preserve">, pogorszenie klimatu inwestycyjnego było bardzo widoczne. Wciąż wysoka inflacja, stopy procentowe oraz zmieniające się czynniki geopolityczne nie wpływały pozytywnie na ożywienie nastrojów inwestycyjnych. </w:t>
      </w:r>
      <w:r w:rsidR="00374422" w:rsidRPr="00EF673B">
        <w:rPr>
          <w:rFonts w:asciiTheme="majorHAnsi" w:hAnsiTheme="majorHAnsi" w:cstheme="majorHAnsi"/>
          <w:bCs/>
          <w:i/>
          <w:iCs/>
          <w:color w:val="000000" w:themeColor="text1"/>
        </w:rPr>
        <w:t>Z</w:t>
      </w:r>
      <w:r w:rsidR="00E2091C" w:rsidRPr="00EF673B">
        <w:rPr>
          <w:rFonts w:asciiTheme="majorHAnsi" w:hAnsiTheme="majorHAnsi" w:cstheme="majorHAnsi"/>
          <w:bCs/>
          <w:i/>
          <w:iCs/>
          <w:color w:val="000000" w:themeColor="text1"/>
        </w:rPr>
        <w:t>e względu na ograniczoną liczbę kontraktów na rynku polskim i europejskim</w:t>
      </w:r>
      <w:r w:rsidR="000A7353" w:rsidRPr="00EF673B">
        <w:rPr>
          <w:rFonts w:asciiTheme="majorHAnsi" w:hAnsiTheme="majorHAnsi" w:cstheme="majorHAnsi"/>
          <w:bCs/>
          <w:i/>
          <w:iCs/>
          <w:color w:val="000000" w:themeColor="text1"/>
        </w:rPr>
        <w:t xml:space="preserve"> nastąpiła </w:t>
      </w:r>
      <w:r w:rsidR="00374422" w:rsidRPr="00EF673B">
        <w:rPr>
          <w:rFonts w:asciiTheme="majorHAnsi" w:hAnsiTheme="majorHAnsi" w:cstheme="majorHAnsi"/>
          <w:bCs/>
          <w:i/>
          <w:iCs/>
          <w:color w:val="000000" w:themeColor="text1"/>
        </w:rPr>
        <w:t>duż</w:t>
      </w:r>
      <w:r w:rsidR="000A7353" w:rsidRPr="00EF673B">
        <w:rPr>
          <w:rFonts w:asciiTheme="majorHAnsi" w:hAnsiTheme="majorHAnsi" w:cstheme="majorHAnsi"/>
          <w:bCs/>
          <w:i/>
          <w:iCs/>
          <w:color w:val="000000" w:themeColor="text1"/>
        </w:rPr>
        <w:t>a</w:t>
      </w:r>
      <w:r w:rsidR="00374422" w:rsidRPr="00EF673B">
        <w:rPr>
          <w:rFonts w:asciiTheme="majorHAnsi" w:hAnsiTheme="majorHAnsi" w:cstheme="majorHAnsi"/>
          <w:bCs/>
          <w:i/>
          <w:iCs/>
          <w:color w:val="000000" w:themeColor="text1"/>
        </w:rPr>
        <w:t xml:space="preserve"> konkurencyjność i walk</w:t>
      </w:r>
      <w:r w:rsidR="000A7353" w:rsidRPr="00EF673B">
        <w:rPr>
          <w:rFonts w:asciiTheme="majorHAnsi" w:hAnsiTheme="majorHAnsi" w:cstheme="majorHAnsi"/>
          <w:bCs/>
          <w:i/>
          <w:iCs/>
          <w:color w:val="000000" w:themeColor="text1"/>
        </w:rPr>
        <w:t>a</w:t>
      </w:r>
      <w:r w:rsidR="00374422" w:rsidRPr="00EF673B">
        <w:rPr>
          <w:rFonts w:asciiTheme="majorHAnsi" w:hAnsiTheme="majorHAnsi" w:cstheme="majorHAnsi"/>
          <w:bCs/>
          <w:i/>
          <w:iCs/>
          <w:color w:val="000000" w:themeColor="text1"/>
        </w:rPr>
        <w:t xml:space="preserve"> o zlecenia.</w:t>
      </w:r>
      <w:r w:rsidR="000A7353" w:rsidRPr="00EF673B">
        <w:rPr>
          <w:rFonts w:asciiTheme="majorHAnsi" w:hAnsiTheme="majorHAnsi" w:cstheme="majorHAnsi"/>
          <w:bCs/>
          <w:i/>
          <w:iCs/>
          <w:color w:val="000000" w:themeColor="text1"/>
        </w:rPr>
        <w:t xml:space="preserve"> Odczuliśmy również skutki kryzysu nieruchomościowego i spadk</w:t>
      </w:r>
      <w:r w:rsidR="00FE5C61">
        <w:rPr>
          <w:rFonts w:asciiTheme="majorHAnsi" w:hAnsiTheme="majorHAnsi" w:cstheme="majorHAnsi"/>
          <w:bCs/>
          <w:i/>
          <w:iCs/>
          <w:color w:val="000000" w:themeColor="text1"/>
        </w:rPr>
        <w:t>i</w:t>
      </w:r>
      <w:r w:rsidR="000A7353" w:rsidRPr="00EF673B">
        <w:rPr>
          <w:rFonts w:asciiTheme="majorHAnsi" w:hAnsiTheme="majorHAnsi" w:cstheme="majorHAnsi"/>
          <w:bCs/>
          <w:i/>
          <w:iCs/>
          <w:color w:val="000000" w:themeColor="text1"/>
        </w:rPr>
        <w:t xml:space="preserve"> cen w Zachodniej Europie, szczególnie w Niemczech i Szwecji.</w:t>
      </w:r>
      <w:r w:rsidR="00EF673B">
        <w:rPr>
          <w:rFonts w:asciiTheme="majorHAnsi" w:hAnsiTheme="majorHAnsi" w:cstheme="majorHAnsi"/>
          <w:bCs/>
          <w:color w:val="000000" w:themeColor="text1"/>
        </w:rPr>
        <w:t xml:space="preserve"> </w:t>
      </w:r>
      <w:r w:rsidR="00EF673B" w:rsidRPr="00EF673B">
        <w:rPr>
          <w:rFonts w:asciiTheme="majorHAnsi" w:hAnsiTheme="majorHAnsi" w:cstheme="majorHAnsi"/>
          <w:bCs/>
          <w:i/>
          <w:iCs/>
          <w:color w:val="000000" w:themeColor="text1"/>
        </w:rPr>
        <w:t xml:space="preserve">Jestem jednak dobrej myśli jeśli chodzi o kolejne kwartały br., </w:t>
      </w:r>
      <w:r w:rsidR="00656FD1">
        <w:rPr>
          <w:rFonts w:asciiTheme="majorHAnsi" w:hAnsiTheme="majorHAnsi" w:cstheme="majorHAnsi"/>
          <w:bCs/>
          <w:i/>
          <w:iCs/>
          <w:color w:val="000000" w:themeColor="text1"/>
        </w:rPr>
        <w:t xml:space="preserve">po dekoniunkturze </w:t>
      </w:r>
      <w:r w:rsidR="00EF673B" w:rsidRPr="00EF673B">
        <w:rPr>
          <w:rFonts w:asciiTheme="majorHAnsi" w:hAnsiTheme="majorHAnsi" w:cstheme="majorHAnsi"/>
          <w:bCs/>
          <w:i/>
          <w:iCs/>
          <w:color w:val="000000" w:themeColor="text1"/>
        </w:rPr>
        <w:t xml:space="preserve">spodziewamy się </w:t>
      </w:r>
      <w:r w:rsidR="00656FD1">
        <w:rPr>
          <w:rFonts w:asciiTheme="majorHAnsi" w:hAnsiTheme="majorHAnsi" w:cstheme="majorHAnsi"/>
          <w:bCs/>
          <w:i/>
          <w:iCs/>
          <w:color w:val="000000" w:themeColor="text1"/>
        </w:rPr>
        <w:t xml:space="preserve">szybkiej i </w:t>
      </w:r>
      <w:r w:rsidR="00EF673B" w:rsidRPr="00EF673B">
        <w:rPr>
          <w:rFonts w:asciiTheme="majorHAnsi" w:hAnsiTheme="majorHAnsi" w:cstheme="majorHAnsi"/>
          <w:bCs/>
          <w:i/>
          <w:iCs/>
          <w:color w:val="000000" w:themeColor="text1"/>
        </w:rPr>
        <w:t xml:space="preserve">znaczącej poprawy koniunktury. </w:t>
      </w:r>
      <w:r w:rsidR="00656FD1">
        <w:rPr>
          <w:rFonts w:asciiTheme="majorHAnsi" w:hAnsiTheme="majorHAnsi" w:cstheme="majorHAnsi"/>
          <w:bCs/>
          <w:i/>
          <w:iCs/>
          <w:color w:val="000000" w:themeColor="text1"/>
        </w:rPr>
        <w:t>Przede wszystkim na rynku mieszkaniowym: m</w:t>
      </w:r>
      <w:r w:rsidR="00EF673B" w:rsidRPr="00F209D4">
        <w:rPr>
          <w:rFonts w:asciiTheme="majorHAnsi" w:hAnsiTheme="majorHAnsi" w:cstheme="majorHAnsi"/>
          <w:bCs/>
          <w:i/>
          <w:iCs/>
          <w:color w:val="000000" w:themeColor="text1"/>
        </w:rPr>
        <w:t>amy produkt, który jest idealną odpowiedzią na potrzeby współczesnych miast, szczególnie w kontekście rosnącego zapotrzebowania na mieszkania w Polsce i Europie, potrzeby wzmocnienia samorządowego segmentu rynku mieszkaniowego jak i coraz krótszy okres na wykorzystanie przyznanych Polsce środków z KPO. Posiadamy nowatorskie rozwiązania, obejmujące zarówno doradztwo, projektowanie, produkcję, transport oraz montaż prefabrykatów, a także kompleksowe realizowanie obiektów w formule generalnego wykonawstwa</w:t>
      </w:r>
      <w:r w:rsidR="00C36093">
        <w:rPr>
          <w:rFonts w:asciiTheme="majorHAnsi" w:hAnsiTheme="majorHAnsi" w:cstheme="majorHAnsi"/>
          <w:bCs/>
          <w:i/>
          <w:iCs/>
          <w:color w:val="000000" w:themeColor="text1"/>
        </w:rPr>
        <w:t xml:space="preserve"> </w:t>
      </w:r>
      <w:r w:rsidR="00EF673B" w:rsidRPr="00EF673B">
        <w:rPr>
          <w:rFonts w:asciiTheme="majorHAnsi" w:hAnsiTheme="majorHAnsi" w:cstheme="majorHAnsi"/>
          <w:bCs/>
          <w:color w:val="000000" w:themeColor="text1"/>
        </w:rPr>
        <w:t xml:space="preserve">– powiedział </w:t>
      </w:r>
      <w:r w:rsidR="00EF673B" w:rsidRPr="00EF673B">
        <w:rPr>
          <w:rFonts w:asciiTheme="majorHAnsi" w:hAnsiTheme="majorHAnsi" w:cstheme="majorHAnsi"/>
          <w:b/>
          <w:color w:val="000000" w:themeColor="text1"/>
        </w:rPr>
        <w:t>Robert Jędrzejowski</w:t>
      </w:r>
      <w:r w:rsidR="00EF673B" w:rsidRPr="00EF673B">
        <w:rPr>
          <w:rFonts w:asciiTheme="majorHAnsi" w:hAnsiTheme="majorHAnsi" w:cstheme="majorHAnsi"/>
          <w:bCs/>
          <w:color w:val="000000" w:themeColor="text1"/>
        </w:rPr>
        <w:t>, prezes zarządu Pekabex.</w:t>
      </w:r>
    </w:p>
    <w:p w14:paraId="68EE4E27" w14:textId="77777777" w:rsidR="00374422" w:rsidRDefault="00374422" w:rsidP="00AF0D10">
      <w:pPr>
        <w:spacing w:line="276" w:lineRule="auto"/>
        <w:jc w:val="both"/>
        <w:rPr>
          <w:rFonts w:asciiTheme="majorHAnsi" w:hAnsiTheme="majorHAnsi" w:cstheme="majorHAnsi"/>
          <w:bCs/>
          <w:color w:val="000000" w:themeColor="text1"/>
        </w:rPr>
      </w:pPr>
    </w:p>
    <w:p w14:paraId="655A7B47" w14:textId="77777777" w:rsidR="001C49F7" w:rsidRDefault="00EF673B" w:rsidP="00AF0D10">
      <w:pPr>
        <w:spacing w:line="276" w:lineRule="auto"/>
        <w:jc w:val="both"/>
        <w:rPr>
          <w:rFonts w:asciiTheme="majorHAnsi" w:hAnsiTheme="majorHAnsi" w:cstheme="majorHAnsi"/>
          <w:bCs/>
          <w:color w:val="000000" w:themeColor="text1"/>
        </w:rPr>
      </w:pPr>
      <w:r>
        <w:rPr>
          <w:rFonts w:asciiTheme="majorHAnsi" w:hAnsiTheme="majorHAnsi" w:cstheme="majorHAnsi"/>
          <w:bCs/>
          <w:color w:val="000000" w:themeColor="text1"/>
        </w:rPr>
        <w:t xml:space="preserve">Dodał, iż dobrym prognostykiem na kolejne kwartały jest </w:t>
      </w:r>
      <w:r w:rsidR="00AF0D10" w:rsidRPr="003B3890">
        <w:rPr>
          <w:rFonts w:asciiTheme="majorHAnsi" w:hAnsiTheme="majorHAnsi" w:cstheme="majorHAnsi"/>
          <w:bCs/>
          <w:color w:val="000000" w:themeColor="text1"/>
        </w:rPr>
        <w:t>rekordowy portfel zleceń, wyższy o ok. 885 mln zł rok do roku i lepszy o ok. 565 mln zł w porównaniu z końcem ubiegłego roku</w:t>
      </w:r>
      <w:r w:rsidR="001C49F7">
        <w:rPr>
          <w:rFonts w:asciiTheme="majorHAnsi" w:hAnsiTheme="majorHAnsi" w:cstheme="majorHAnsi"/>
          <w:bCs/>
          <w:color w:val="000000" w:themeColor="text1"/>
        </w:rPr>
        <w:t xml:space="preserve">. </w:t>
      </w:r>
    </w:p>
    <w:p w14:paraId="2CAEE925" w14:textId="2C69792D" w:rsidR="00555026" w:rsidRPr="0081332A" w:rsidRDefault="00555026" w:rsidP="00AF0D10">
      <w:pPr>
        <w:spacing w:line="276" w:lineRule="auto"/>
        <w:jc w:val="both"/>
        <w:rPr>
          <w:rFonts w:asciiTheme="majorHAnsi" w:hAnsiTheme="majorHAnsi" w:cstheme="majorHAnsi"/>
          <w:bCs/>
          <w:color w:val="000000" w:themeColor="text1"/>
        </w:rPr>
      </w:pPr>
      <w:r w:rsidRPr="0081332A">
        <w:rPr>
          <w:rFonts w:asciiTheme="majorHAnsi" w:hAnsiTheme="majorHAnsi" w:cstheme="majorHAnsi"/>
          <w:bCs/>
          <w:color w:val="000000" w:themeColor="text1"/>
        </w:rPr>
        <w:t>Spółka po raz kolejny planuje podzielić się zyskiem z akcjonariuszami. Rekomendacja zarządu zakłada przeznaczenie na dywidendę 10,18 mln zł z ubiegłorocznego zysku</w:t>
      </w:r>
      <w:r w:rsidR="00AA1E25">
        <w:rPr>
          <w:rFonts w:asciiTheme="majorHAnsi" w:hAnsiTheme="majorHAnsi" w:cstheme="majorHAnsi"/>
          <w:bCs/>
          <w:color w:val="000000" w:themeColor="text1"/>
        </w:rPr>
        <w:t>,</w:t>
      </w:r>
      <w:r w:rsidRPr="0081332A">
        <w:rPr>
          <w:rFonts w:asciiTheme="majorHAnsi" w:hAnsiTheme="majorHAnsi" w:cstheme="majorHAnsi"/>
          <w:bCs/>
          <w:color w:val="000000" w:themeColor="text1"/>
        </w:rPr>
        <w:t xml:space="preserve"> czyli 0,41 zł na akcję.</w:t>
      </w:r>
    </w:p>
    <w:p w14:paraId="41A0B537" w14:textId="77777777" w:rsidR="00AF0D10" w:rsidRDefault="00AF0D10" w:rsidP="00E2091C">
      <w:pPr>
        <w:spacing w:line="276" w:lineRule="auto"/>
        <w:jc w:val="both"/>
        <w:rPr>
          <w:rFonts w:asciiTheme="majorHAnsi" w:hAnsiTheme="majorHAnsi" w:cstheme="majorHAnsi"/>
          <w:bCs/>
          <w:color w:val="000000" w:themeColor="text1"/>
        </w:rPr>
      </w:pPr>
    </w:p>
    <w:p w14:paraId="0AA6909E" w14:textId="77777777" w:rsidR="009F43A8" w:rsidRPr="001B0CBD" w:rsidRDefault="009F43A8" w:rsidP="00551206">
      <w:pPr>
        <w:spacing w:line="276" w:lineRule="auto"/>
        <w:jc w:val="both"/>
        <w:rPr>
          <w:rFonts w:asciiTheme="majorHAnsi" w:hAnsiTheme="majorHAnsi" w:cstheme="majorHAnsi"/>
          <w:b/>
          <w:bCs/>
          <w:color w:val="000000" w:themeColor="text1"/>
          <w:sz w:val="20"/>
          <w:szCs w:val="20"/>
        </w:rPr>
      </w:pPr>
    </w:p>
    <w:p w14:paraId="46255A58" w14:textId="77777777" w:rsidR="009F43A8" w:rsidRPr="001B0CBD" w:rsidRDefault="009F43A8" w:rsidP="00551206">
      <w:pPr>
        <w:spacing w:line="276" w:lineRule="auto"/>
        <w:jc w:val="both"/>
        <w:rPr>
          <w:rFonts w:asciiTheme="majorHAnsi" w:hAnsiTheme="majorHAnsi" w:cstheme="majorHAnsi"/>
          <w:b/>
          <w:bCs/>
          <w:i/>
          <w:iCs/>
          <w:color w:val="000000" w:themeColor="text1"/>
          <w:sz w:val="20"/>
          <w:szCs w:val="20"/>
        </w:rPr>
      </w:pPr>
      <w:r w:rsidRPr="001B0CBD">
        <w:rPr>
          <w:rFonts w:asciiTheme="majorHAnsi" w:hAnsiTheme="majorHAnsi" w:cstheme="majorHAnsi"/>
          <w:b/>
          <w:bCs/>
          <w:i/>
          <w:iCs/>
          <w:color w:val="000000" w:themeColor="text1"/>
          <w:sz w:val="20"/>
          <w:szCs w:val="20"/>
        </w:rPr>
        <w:t>Więcej informacji udziela:</w:t>
      </w:r>
    </w:p>
    <w:p w14:paraId="2207ADE0" w14:textId="77777777" w:rsidR="009F43A8" w:rsidRPr="001B0CBD" w:rsidRDefault="009F43A8" w:rsidP="00551206">
      <w:pPr>
        <w:spacing w:line="276" w:lineRule="auto"/>
        <w:jc w:val="both"/>
        <w:rPr>
          <w:rFonts w:asciiTheme="majorHAnsi" w:hAnsiTheme="majorHAnsi" w:cstheme="majorHAnsi"/>
          <w:b/>
          <w:bCs/>
          <w:i/>
          <w:iCs/>
          <w:color w:val="000000" w:themeColor="text1"/>
          <w:sz w:val="20"/>
          <w:szCs w:val="20"/>
        </w:rPr>
      </w:pPr>
    </w:p>
    <w:p w14:paraId="1BA61DEE" w14:textId="77777777" w:rsidR="009F43A8" w:rsidRPr="001B0CBD" w:rsidRDefault="009F43A8" w:rsidP="00551206">
      <w:pPr>
        <w:spacing w:line="276" w:lineRule="auto"/>
        <w:jc w:val="both"/>
        <w:rPr>
          <w:rFonts w:asciiTheme="majorHAnsi" w:hAnsiTheme="majorHAnsi" w:cstheme="majorHAnsi"/>
          <w:i/>
          <w:iCs/>
          <w:color w:val="000000" w:themeColor="text1"/>
          <w:sz w:val="20"/>
          <w:szCs w:val="20"/>
        </w:rPr>
      </w:pPr>
      <w:r w:rsidRPr="001B0CBD">
        <w:rPr>
          <w:rFonts w:asciiTheme="majorHAnsi" w:hAnsiTheme="majorHAnsi" w:cstheme="majorHAnsi"/>
          <w:i/>
          <w:iCs/>
          <w:color w:val="000000" w:themeColor="text1"/>
          <w:sz w:val="20"/>
          <w:szCs w:val="20"/>
        </w:rPr>
        <w:t>Beata Żaczek</w:t>
      </w:r>
    </w:p>
    <w:p w14:paraId="4ED6E5BD" w14:textId="77777777" w:rsidR="009F43A8" w:rsidRPr="001B0CBD" w:rsidRDefault="009F43A8" w:rsidP="00551206">
      <w:pPr>
        <w:spacing w:line="276" w:lineRule="auto"/>
        <w:jc w:val="both"/>
        <w:rPr>
          <w:rFonts w:asciiTheme="majorHAnsi" w:hAnsiTheme="majorHAnsi" w:cstheme="majorHAnsi"/>
          <w:i/>
          <w:iCs/>
          <w:color w:val="000000" w:themeColor="text1"/>
          <w:sz w:val="20"/>
          <w:szCs w:val="20"/>
        </w:rPr>
      </w:pPr>
      <w:r w:rsidRPr="001B0CBD">
        <w:rPr>
          <w:rFonts w:asciiTheme="majorHAnsi" w:hAnsiTheme="majorHAnsi" w:cstheme="majorHAnsi"/>
          <w:i/>
          <w:iCs/>
          <w:color w:val="000000" w:themeColor="text1"/>
          <w:sz w:val="20"/>
          <w:szCs w:val="20"/>
        </w:rPr>
        <w:t>Wiceprezes Zarządu / CFO</w:t>
      </w:r>
    </w:p>
    <w:p w14:paraId="253858EE" w14:textId="21D6B236" w:rsidR="009F43A8" w:rsidRPr="001B0CBD" w:rsidRDefault="009F43A8" w:rsidP="00551206">
      <w:pPr>
        <w:spacing w:line="276" w:lineRule="auto"/>
        <w:jc w:val="both"/>
        <w:rPr>
          <w:rFonts w:asciiTheme="majorHAnsi" w:hAnsiTheme="majorHAnsi" w:cstheme="majorHAnsi"/>
          <w:i/>
          <w:iCs/>
          <w:color w:val="000000" w:themeColor="text1"/>
          <w:sz w:val="20"/>
          <w:szCs w:val="20"/>
        </w:rPr>
      </w:pPr>
      <w:r w:rsidRPr="001B0CBD">
        <w:rPr>
          <w:rFonts w:asciiTheme="majorHAnsi" w:hAnsiTheme="majorHAnsi" w:cstheme="majorHAnsi"/>
          <w:i/>
          <w:iCs/>
          <w:color w:val="000000" w:themeColor="text1"/>
          <w:sz w:val="20"/>
          <w:szCs w:val="20"/>
        </w:rPr>
        <w:t>beata.zaczek@pekabex.</w:t>
      </w:r>
      <w:r w:rsidR="00656FD1">
        <w:rPr>
          <w:rFonts w:asciiTheme="majorHAnsi" w:hAnsiTheme="majorHAnsi" w:cstheme="majorHAnsi"/>
          <w:i/>
          <w:iCs/>
          <w:color w:val="000000" w:themeColor="text1"/>
          <w:sz w:val="20"/>
          <w:szCs w:val="20"/>
        </w:rPr>
        <w:t>com</w:t>
      </w:r>
      <w:bookmarkStart w:id="2" w:name="_GoBack"/>
      <w:bookmarkEnd w:id="2"/>
    </w:p>
    <w:p w14:paraId="7DB8710F" w14:textId="77777777" w:rsidR="009F43A8" w:rsidRPr="001B0CBD" w:rsidRDefault="009F43A8" w:rsidP="00551206">
      <w:pPr>
        <w:spacing w:before="100" w:beforeAutospacing="1" w:after="100" w:afterAutospacing="1" w:line="276" w:lineRule="auto"/>
        <w:jc w:val="both"/>
        <w:rPr>
          <w:rFonts w:asciiTheme="majorHAnsi" w:hAnsiTheme="majorHAnsi" w:cstheme="majorHAnsi"/>
          <w:i/>
          <w:iCs/>
          <w:color w:val="000000" w:themeColor="text1"/>
          <w:sz w:val="20"/>
          <w:szCs w:val="20"/>
        </w:rPr>
      </w:pPr>
      <w:r w:rsidRPr="001B0CBD">
        <w:rPr>
          <w:rFonts w:asciiTheme="majorHAnsi" w:hAnsiTheme="majorHAnsi" w:cstheme="majorHAnsi"/>
          <w:i/>
          <w:iCs/>
          <w:color w:val="000000" w:themeColor="text1"/>
          <w:sz w:val="20"/>
          <w:szCs w:val="20"/>
        </w:rPr>
        <w:t xml:space="preserve">Grupa Pekabex jest liderem nowoczesnego budownictwa systemowego w Polsce. Dostarcza rozwiązania w zakresie projektowania, produkcji i montażu konstrukcji obiektów w oparciu o technologię prefabrykacji elementów żelbetowych, jak również kompleksową budowę obiektów </w:t>
      </w:r>
      <w:r w:rsidR="00D81540">
        <w:rPr>
          <w:rFonts w:asciiTheme="majorHAnsi" w:hAnsiTheme="majorHAnsi" w:cstheme="majorHAnsi"/>
          <w:i/>
          <w:iCs/>
          <w:color w:val="000000" w:themeColor="text1"/>
          <w:sz w:val="20"/>
          <w:szCs w:val="20"/>
        </w:rPr>
        <w:t>jako generalny wykonawca</w:t>
      </w:r>
      <w:r w:rsidRPr="001B0CBD">
        <w:rPr>
          <w:rFonts w:asciiTheme="majorHAnsi" w:hAnsiTheme="majorHAnsi" w:cstheme="majorHAnsi"/>
          <w:i/>
          <w:iCs/>
          <w:color w:val="000000" w:themeColor="text1"/>
          <w:sz w:val="20"/>
          <w:szCs w:val="20"/>
        </w:rPr>
        <w:t xml:space="preserve"> oraz rozwija działalność deweloperską. Innowacyjna technologia prefabrykacji wpływa na zmniejszenie śladu węglowego, zapewnia bezpieczeństwo na budowie, skraca czas oddania inwestycji oraz zapewnia niezależność od takich czynników jak warunki pogodowe, jednocześnie jest odpowiedzią na brak pracowników budowlanych. Produkcja realizowana jest w pięciu fabrykach w Polsce zlokalizowanych w Poznaniu, dwóch w Gdańsku, Mszczonowie (k. Warszawy) i Bielsku Białej oraz w zakładzie w Niemczech. Obecnie łączne roczne moce produkcyjne Grupy Pekabex wynoszą około 270 tys. m3 w przypadku elementów strukturalnych, 550 tys. m2 w przypadku płyt kanałowych i 500 tys. m2 w przypadku płyt filigran oraz ścian pełnych.</w:t>
      </w:r>
    </w:p>
    <w:p w14:paraId="27D63B0C" w14:textId="77777777" w:rsidR="00D6687A" w:rsidRPr="001B0CBD" w:rsidRDefault="009F43A8" w:rsidP="00551206">
      <w:pPr>
        <w:spacing w:beforeAutospacing="1" w:after="100" w:afterAutospacing="1" w:line="276" w:lineRule="auto"/>
        <w:jc w:val="both"/>
        <w:rPr>
          <w:rFonts w:asciiTheme="majorHAnsi" w:hAnsiTheme="majorHAnsi" w:cstheme="majorHAnsi"/>
          <w:i/>
          <w:iCs/>
          <w:color w:val="000000" w:themeColor="text1"/>
          <w:sz w:val="20"/>
          <w:szCs w:val="20"/>
        </w:rPr>
      </w:pPr>
      <w:r w:rsidRPr="001B0CBD">
        <w:rPr>
          <w:rFonts w:asciiTheme="majorHAnsi" w:hAnsiTheme="majorHAnsi" w:cstheme="majorHAnsi"/>
          <w:i/>
          <w:iCs/>
          <w:color w:val="000000" w:themeColor="text1"/>
          <w:sz w:val="20"/>
          <w:szCs w:val="20"/>
        </w:rPr>
        <w:t xml:space="preserve">Grupa działa na rynku polskim i za granicą od </w:t>
      </w:r>
      <w:r w:rsidR="00D81540">
        <w:rPr>
          <w:rFonts w:asciiTheme="majorHAnsi" w:hAnsiTheme="majorHAnsi" w:cstheme="majorHAnsi"/>
          <w:i/>
          <w:iCs/>
          <w:color w:val="000000" w:themeColor="text1"/>
          <w:sz w:val="20"/>
          <w:szCs w:val="20"/>
        </w:rPr>
        <w:t xml:space="preserve">ponad </w:t>
      </w:r>
      <w:r w:rsidRPr="001B0CBD">
        <w:rPr>
          <w:rFonts w:asciiTheme="majorHAnsi" w:hAnsiTheme="majorHAnsi" w:cstheme="majorHAnsi"/>
          <w:i/>
          <w:iCs/>
          <w:color w:val="000000" w:themeColor="text1"/>
          <w:sz w:val="20"/>
          <w:szCs w:val="20"/>
        </w:rPr>
        <w:t>50 lat, zatrudnia (pracownicy oraz osoby współpracujące) około 2.700 osób, w tym wysoko wyspecjalizowaną kadrę inżynierską. W lipcu 2015 r. z sukcesem zadebiutowała na Giełdzie Papierów Wartościowych w Warszawie. Celem Grupy Pekabex jest osiągnięcie pozycji znaczącego gracza na rynku europejskim.</w:t>
      </w:r>
    </w:p>
    <w:sectPr w:rsidR="00D6687A" w:rsidRPr="001B0CBD" w:rsidSect="003D653A">
      <w:headerReference w:type="default" r:id="rId8"/>
      <w:pgSz w:w="11906" w:h="16838"/>
      <w:pgMar w:top="1417" w:right="1417" w:bottom="1417" w:left="1417" w:header="56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7E993" w14:textId="77777777" w:rsidR="00150995" w:rsidRDefault="00150995">
      <w:r>
        <w:separator/>
      </w:r>
    </w:p>
  </w:endnote>
  <w:endnote w:type="continuationSeparator" w:id="0">
    <w:p w14:paraId="3F0F277B" w14:textId="77777777" w:rsidR="00150995" w:rsidRDefault="00150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9DA8A" w14:textId="77777777" w:rsidR="00150995" w:rsidRDefault="00150995">
      <w:r>
        <w:separator/>
      </w:r>
    </w:p>
  </w:footnote>
  <w:footnote w:type="continuationSeparator" w:id="0">
    <w:p w14:paraId="2ACB15E5" w14:textId="77777777" w:rsidR="00150995" w:rsidRDefault="00150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503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28"/>
      <w:gridCol w:w="2800"/>
    </w:tblGrid>
    <w:tr w:rsidR="00333AA6" w14:paraId="5BC539B0" w14:textId="77777777" w:rsidTr="00033A9B">
      <w:trPr>
        <w:trHeight w:val="850"/>
      </w:trPr>
      <w:tc>
        <w:tcPr>
          <w:tcW w:w="3466" w:type="pct"/>
          <w:vAlign w:val="center"/>
        </w:tcPr>
        <w:p w14:paraId="06508BE5" w14:textId="77777777" w:rsidR="00B2673E" w:rsidRDefault="001A3371" w:rsidP="00333AA6">
          <w:pPr>
            <w:pStyle w:val="Nagwek"/>
          </w:pPr>
          <w:r w:rsidRPr="00333AA6">
            <w:rPr>
              <w:noProof/>
            </w:rPr>
            <w:drawing>
              <wp:inline distT="0" distB="0" distL="0" distR="0" wp14:anchorId="200E81EE" wp14:editId="679B5C21">
                <wp:extent cx="1671971" cy="358140"/>
                <wp:effectExtent l="0" t="0" r="444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24842" t="38623" r="22653" b="39961"/>
                        <a:stretch/>
                      </pic:blipFill>
                      <pic:spPr bwMode="auto">
                        <a:xfrm>
                          <a:off x="0" y="0"/>
                          <a:ext cx="1786757" cy="382727"/>
                        </a:xfrm>
                        <a:prstGeom prst="rect">
                          <a:avLst/>
                        </a:prstGeom>
                        <a:noFill/>
                        <a:ln>
                          <a:noFill/>
                        </a:ln>
                        <a:extLst>
                          <a:ext uri="{53640926-AAD7-44D8-BBD7-CCE9431645EC}">
                            <a14:shadowObscured xmlns:a14="http://schemas.microsoft.com/office/drawing/2010/main"/>
                          </a:ext>
                        </a:extLst>
                      </pic:spPr>
                    </pic:pic>
                  </a:graphicData>
                </a:graphic>
              </wp:inline>
            </w:drawing>
          </w:r>
        </w:p>
        <w:p w14:paraId="5B1376EE" w14:textId="77777777" w:rsidR="00B2673E" w:rsidRDefault="00B2673E" w:rsidP="00333AA6">
          <w:pPr>
            <w:pStyle w:val="Nagwek"/>
          </w:pPr>
        </w:p>
      </w:tc>
      <w:tc>
        <w:tcPr>
          <w:tcW w:w="1534" w:type="pct"/>
          <w:vAlign w:val="center"/>
        </w:tcPr>
        <w:p w14:paraId="14C65EC8" w14:textId="77777777" w:rsidR="00B2673E" w:rsidRPr="00033A9B" w:rsidRDefault="00B2673E" w:rsidP="00333AA6">
          <w:pPr>
            <w:pStyle w:val="Nagwek"/>
            <w:jc w:val="center"/>
            <w:rPr>
              <w:sz w:val="20"/>
            </w:rPr>
          </w:pPr>
        </w:p>
        <w:p w14:paraId="192EDBBA" w14:textId="77777777" w:rsidR="00B2673E" w:rsidRPr="00033A9B" w:rsidRDefault="001A3371" w:rsidP="00033A9B">
          <w:pPr>
            <w:pStyle w:val="Nagwek"/>
            <w:rPr>
              <w:rFonts w:asciiTheme="minorHAnsi" w:hAnsiTheme="minorHAnsi" w:cstheme="minorHAnsi"/>
              <w:b/>
              <w:color w:val="008000"/>
              <w:sz w:val="20"/>
            </w:rPr>
          </w:pPr>
          <w:r w:rsidRPr="00033A9B">
            <w:rPr>
              <w:rFonts w:asciiTheme="minorHAnsi" w:hAnsiTheme="minorHAnsi" w:cstheme="minorHAnsi"/>
              <w:b/>
              <w:color w:val="008000"/>
              <w:sz w:val="20"/>
            </w:rPr>
            <w:t>Grupa Kapitałowa PEKABEX</w:t>
          </w:r>
        </w:p>
        <w:p w14:paraId="35B02378" w14:textId="77777777" w:rsidR="00B2673E" w:rsidRPr="00033A9B" w:rsidRDefault="001A3371" w:rsidP="00033A9B">
          <w:pPr>
            <w:pStyle w:val="Nagwek"/>
            <w:rPr>
              <w:rFonts w:asciiTheme="minorHAnsi" w:hAnsiTheme="minorHAnsi" w:cstheme="minorHAnsi"/>
              <w:sz w:val="20"/>
            </w:rPr>
          </w:pPr>
          <w:r w:rsidRPr="00033A9B">
            <w:rPr>
              <w:rFonts w:asciiTheme="minorHAnsi" w:hAnsiTheme="minorHAnsi" w:cstheme="minorHAnsi"/>
              <w:sz w:val="20"/>
            </w:rPr>
            <w:t xml:space="preserve">ul. Szarych Szeregów 27 </w:t>
          </w:r>
        </w:p>
        <w:p w14:paraId="414D9593" w14:textId="77777777" w:rsidR="00B2673E" w:rsidRPr="00033A9B" w:rsidRDefault="001A3371" w:rsidP="00033A9B">
          <w:pPr>
            <w:pStyle w:val="Nagwek"/>
            <w:rPr>
              <w:rFonts w:asciiTheme="minorHAnsi" w:hAnsiTheme="minorHAnsi" w:cstheme="minorHAnsi"/>
              <w:sz w:val="20"/>
            </w:rPr>
          </w:pPr>
          <w:r w:rsidRPr="00033A9B">
            <w:rPr>
              <w:rFonts w:asciiTheme="minorHAnsi" w:hAnsiTheme="minorHAnsi" w:cstheme="minorHAnsi"/>
              <w:sz w:val="20"/>
            </w:rPr>
            <w:t xml:space="preserve">60-462 Poznań </w:t>
          </w:r>
        </w:p>
        <w:p w14:paraId="58700038" w14:textId="072C4358" w:rsidR="00B2673E" w:rsidRPr="00033A9B" w:rsidRDefault="001A3371" w:rsidP="00033A9B">
          <w:pPr>
            <w:pStyle w:val="Nagwek"/>
            <w:rPr>
              <w:sz w:val="20"/>
            </w:rPr>
          </w:pPr>
          <w:r w:rsidRPr="00033A9B">
            <w:rPr>
              <w:rFonts w:asciiTheme="minorHAnsi" w:hAnsiTheme="minorHAnsi" w:cstheme="minorHAnsi"/>
              <w:sz w:val="20"/>
            </w:rPr>
            <w:t>www.pekabex.</w:t>
          </w:r>
          <w:r w:rsidR="00656FD1">
            <w:rPr>
              <w:rFonts w:asciiTheme="minorHAnsi" w:hAnsiTheme="minorHAnsi" w:cstheme="minorHAnsi"/>
              <w:sz w:val="20"/>
            </w:rPr>
            <w:t>com</w:t>
          </w:r>
        </w:p>
      </w:tc>
    </w:tr>
  </w:tbl>
  <w:p w14:paraId="3842EA82" w14:textId="77777777" w:rsidR="00B2673E" w:rsidRDefault="00B2673E" w:rsidP="00EB5558">
    <w:pPr>
      <w:pStyle w:val="Nagwek"/>
      <w:ind w:left="-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956AEB"/>
    <w:multiLevelType w:val="multilevel"/>
    <w:tmpl w:val="E926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4F2B7D"/>
    <w:multiLevelType w:val="multilevel"/>
    <w:tmpl w:val="18F8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8AE"/>
    <w:rsid w:val="00010F0E"/>
    <w:rsid w:val="00015445"/>
    <w:rsid w:val="00017EA9"/>
    <w:rsid w:val="0005264E"/>
    <w:rsid w:val="00056E5A"/>
    <w:rsid w:val="00081B1E"/>
    <w:rsid w:val="00087383"/>
    <w:rsid w:val="000A7353"/>
    <w:rsid w:val="000B2185"/>
    <w:rsid w:val="000B3257"/>
    <w:rsid w:val="000C489C"/>
    <w:rsid w:val="000C6BE1"/>
    <w:rsid w:val="001065A7"/>
    <w:rsid w:val="00130737"/>
    <w:rsid w:val="00130838"/>
    <w:rsid w:val="00131294"/>
    <w:rsid w:val="00150995"/>
    <w:rsid w:val="001547F5"/>
    <w:rsid w:val="001A3371"/>
    <w:rsid w:val="001B0CBD"/>
    <w:rsid w:val="001C49F7"/>
    <w:rsid w:val="001D1BE3"/>
    <w:rsid w:val="00216FFD"/>
    <w:rsid w:val="00282F68"/>
    <w:rsid w:val="002A3799"/>
    <w:rsid w:val="00374422"/>
    <w:rsid w:val="00386EDA"/>
    <w:rsid w:val="003967C8"/>
    <w:rsid w:val="003B3890"/>
    <w:rsid w:val="003C2EC9"/>
    <w:rsid w:val="003C6EB4"/>
    <w:rsid w:val="003D5E0A"/>
    <w:rsid w:val="003D653A"/>
    <w:rsid w:val="0040703F"/>
    <w:rsid w:val="00430CC5"/>
    <w:rsid w:val="004439A9"/>
    <w:rsid w:val="00467AF1"/>
    <w:rsid w:val="004A50B9"/>
    <w:rsid w:val="004C18D1"/>
    <w:rsid w:val="004C1D51"/>
    <w:rsid w:val="004D4E47"/>
    <w:rsid w:val="004F0F68"/>
    <w:rsid w:val="005012A7"/>
    <w:rsid w:val="00511E07"/>
    <w:rsid w:val="00544DCB"/>
    <w:rsid w:val="00551206"/>
    <w:rsid w:val="00555026"/>
    <w:rsid w:val="0056542A"/>
    <w:rsid w:val="00565C3E"/>
    <w:rsid w:val="005F33E1"/>
    <w:rsid w:val="00602B8F"/>
    <w:rsid w:val="00627009"/>
    <w:rsid w:val="0063295C"/>
    <w:rsid w:val="00656FD1"/>
    <w:rsid w:val="00677959"/>
    <w:rsid w:val="00685817"/>
    <w:rsid w:val="006D7AE7"/>
    <w:rsid w:val="006E78BF"/>
    <w:rsid w:val="006F4BDC"/>
    <w:rsid w:val="007076A0"/>
    <w:rsid w:val="00720F49"/>
    <w:rsid w:val="0076546D"/>
    <w:rsid w:val="007A1CCA"/>
    <w:rsid w:val="007B31A2"/>
    <w:rsid w:val="00806C8D"/>
    <w:rsid w:val="008105F1"/>
    <w:rsid w:val="0081332A"/>
    <w:rsid w:val="00834655"/>
    <w:rsid w:val="008B2E6C"/>
    <w:rsid w:val="008B3E1B"/>
    <w:rsid w:val="008B6840"/>
    <w:rsid w:val="008C5CC0"/>
    <w:rsid w:val="008E1DAC"/>
    <w:rsid w:val="008F51F2"/>
    <w:rsid w:val="009100AE"/>
    <w:rsid w:val="00913C98"/>
    <w:rsid w:val="009470E7"/>
    <w:rsid w:val="00987E41"/>
    <w:rsid w:val="009A2097"/>
    <w:rsid w:val="009A66A9"/>
    <w:rsid w:val="009D38AE"/>
    <w:rsid w:val="009E3F85"/>
    <w:rsid w:val="009F329F"/>
    <w:rsid w:val="009F43A8"/>
    <w:rsid w:val="00A03D2E"/>
    <w:rsid w:val="00A11C0F"/>
    <w:rsid w:val="00A4705A"/>
    <w:rsid w:val="00A57CAA"/>
    <w:rsid w:val="00AA1E25"/>
    <w:rsid w:val="00AA5F2A"/>
    <w:rsid w:val="00AB5B06"/>
    <w:rsid w:val="00AB79DE"/>
    <w:rsid w:val="00AC2634"/>
    <w:rsid w:val="00AF0D10"/>
    <w:rsid w:val="00AF2013"/>
    <w:rsid w:val="00B16D29"/>
    <w:rsid w:val="00B2673E"/>
    <w:rsid w:val="00B45BC9"/>
    <w:rsid w:val="00B62B8A"/>
    <w:rsid w:val="00B756A8"/>
    <w:rsid w:val="00BA2EDB"/>
    <w:rsid w:val="00BA5FAD"/>
    <w:rsid w:val="00BB0D1A"/>
    <w:rsid w:val="00BC26CE"/>
    <w:rsid w:val="00BD5903"/>
    <w:rsid w:val="00BF61FE"/>
    <w:rsid w:val="00C11354"/>
    <w:rsid w:val="00C115A5"/>
    <w:rsid w:val="00C11A93"/>
    <w:rsid w:val="00C266BF"/>
    <w:rsid w:val="00C36093"/>
    <w:rsid w:val="00C44B9A"/>
    <w:rsid w:val="00C52D65"/>
    <w:rsid w:val="00C90449"/>
    <w:rsid w:val="00C9522E"/>
    <w:rsid w:val="00CB7BDD"/>
    <w:rsid w:val="00CB7F0D"/>
    <w:rsid w:val="00CC0344"/>
    <w:rsid w:val="00CF47EA"/>
    <w:rsid w:val="00CF70BE"/>
    <w:rsid w:val="00D03926"/>
    <w:rsid w:val="00D04B19"/>
    <w:rsid w:val="00D13296"/>
    <w:rsid w:val="00D20A25"/>
    <w:rsid w:val="00D46F4F"/>
    <w:rsid w:val="00D57884"/>
    <w:rsid w:val="00D6687A"/>
    <w:rsid w:val="00D81540"/>
    <w:rsid w:val="00DF2911"/>
    <w:rsid w:val="00E14853"/>
    <w:rsid w:val="00E2091C"/>
    <w:rsid w:val="00E25E75"/>
    <w:rsid w:val="00E41F73"/>
    <w:rsid w:val="00E46A63"/>
    <w:rsid w:val="00E638C6"/>
    <w:rsid w:val="00E66F19"/>
    <w:rsid w:val="00E7015D"/>
    <w:rsid w:val="00E7566E"/>
    <w:rsid w:val="00E95046"/>
    <w:rsid w:val="00ED1D4C"/>
    <w:rsid w:val="00EE0E43"/>
    <w:rsid w:val="00EE7B5E"/>
    <w:rsid w:val="00EF673B"/>
    <w:rsid w:val="00F209D4"/>
    <w:rsid w:val="00F23B14"/>
    <w:rsid w:val="00F76210"/>
    <w:rsid w:val="00FC464B"/>
    <w:rsid w:val="00FE5C61"/>
    <w:rsid w:val="00FF6BC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240E0"/>
  <w15:docId w15:val="{0C8966B8-C300-884E-B6EA-66E78B965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38A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D38AE"/>
    <w:pPr>
      <w:tabs>
        <w:tab w:val="center" w:pos="4536"/>
        <w:tab w:val="right" w:pos="9072"/>
      </w:tabs>
    </w:pPr>
  </w:style>
  <w:style w:type="character" w:customStyle="1" w:styleId="NagwekZnak">
    <w:name w:val="Nagłówek Znak"/>
    <w:basedOn w:val="Domylnaczcionkaakapitu"/>
    <w:link w:val="Nagwek"/>
    <w:rsid w:val="009D38AE"/>
    <w:rPr>
      <w:rFonts w:ascii="Times New Roman" w:eastAsia="Times New Roman" w:hAnsi="Times New Roman" w:cs="Times New Roman"/>
      <w:sz w:val="24"/>
      <w:szCs w:val="24"/>
      <w:lang w:eastAsia="pl-PL"/>
    </w:rPr>
  </w:style>
  <w:style w:type="table" w:styleId="Tabela-Siatka">
    <w:name w:val="Table Grid"/>
    <w:basedOn w:val="Standardowy"/>
    <w:uiPriority w:val="59"/>
    <w:rsid w:val="009D38A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9470E7"/>
    <w:rPr>
      <w:sz w:val="16"/>
      <w:szCs w:val="16"/>
    </w:rPr>
  </w:style>
  <w:style w:type="paragraph" w:styleId="Tekstkomentarza">
    <w:name w:val="annotation text"/>
    <w:basedOn w:val="Normalny"/>
    <w:link w:val="TekstkomentarzaZnak"/>
    <w:uiPriority w:val="99"/>
    <w:unhideWhenUsed/>
    <w:rsid w:val="009470E7"/>
    <w:rPr>
      <w:sz w:val="20"/>
      <w:szCs w:val="20"/>
    </w:rPr>
  </w:style>
  <w:style w:type="character" w:customStyle="1" w:styleId="TekstkomentarzaZnak">
    <w:name w:val="Tekst komentarza Znak"/>
    <w:basedOn w:val="Domylnaczcionkaakapitu"/>
    <w:link w:val="Tekstkomentarza"/>
    <w:uiPriority w:val="99"/>
    <w:rsid w:val="009470E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470E7"/>
    <w:rPr>
      <w:b/>
      <w:bCs/>
    </w:rPr>
  </w:style>
  <w:style w:type="character" w:customStyle="1" w:styleId="TematkomentarzaZnak">
    <w:name w:val="Temat komentarza Znak"/>
    <w:basedOn w:val="TekstkomentarzaZnak"/>
    <w:link w:val="Tematkomentarza"/>
    <w:uiPriority w:val="99"/>
    <w:semiHidden/>
    <w:rsid w:val="009470E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470E7"/>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70E7"/>
    <w:rPr>
      <w:rFonts w:ascii="Segoe UI" w:eastAsia="Times New Roman" w:hAnsi="Segoe UI" w:cs="Segoe UI"/>
      <w:sz w:val="18"/>
      <w:szCs w:val="18"/>
      <w:lang w:eastAsia="pl-PL"/>
    </w:rPr>
  </w:style>
  <w:style w:type="paragraph" w:styleId="Poprawka">
    <w:name w:val="Revision"/>
    <w:hidden/>
    <w:uiPriority w:val="99"/>
    <w:semiHidden/>
    <w:rsid w:val="00130737"/>
    <w:pPr>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551206"/>
    <w:pPr>
      <w:spacing w:before="100" w:beforeAutospacing="1" w:after="100" w:afterAutospacing="1"/>
    </w:pPr>
  </w:style>
  <w:style w:type="paragraph" w:customStyle="1" w:styleId="CMSANTableHeader">
    <w:name w:val="CMS AN Table Header"/>
    <w:uiPriority w:val="16"/>
    <w:rsid w:val="00B62B8A"/>
    <w:pPr>
      <w:adjustRightInd w:val="0"/>
      <w:snapToGrid w:val="0"/>
      <w:spacing w:before="120" w:after="120" w:line="300" w:lineRule="atLeast"/>
    </w:pPr>
    <w:rPr>
      <w:rFonts w:ascii="Times New Roman" w:eastAsia="Times New Roman" w:hAnsi="Times New Roman" w:cs="Times New Roman"/>
      <w:b/>
      <w:color w:val="000000"/>
      <w:lang w:val="en-GB"/>
    </w:rPr>
  </w:style>
  <w:style w:type="paragraph" w:styleId="Stopka">
    <w:name w:val="footer"/>
    <w:basedOn w:val="Normalny"/>
    <w:link w:val="StopkaZnak"/>
    <w:uiPriority w:val="99"/>
    <w:unhideWhenUsed/>
    <w:rsid w:val="00656FD1"/>
    <w:pPr>
      <w:tabs>
        <w:tab w:val="center" w:pos="4536"/>
        <w:tab w:val="right" w:pos="9072"/>
      </w:tabs>
    </w:pPr>
  </w:style>
  <w:style w:type="character" w:customStyle="1" w:styleId="StopkaZnak">
    <w:name w:val="Stopka Znak"/>
    <w:basedOn w:val="Domylnaczcionkaakapitu"/>
    <w:link w:val="Stopka"/>
    <w:uiPriority w:val="99"/>
    <w:rsid w:val="00656FD1"/>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622190">
      <w:bodyDiv w:val="1"/>
      <w:marLeft w:val="0"/>
      <w:marRight w:val="0"/>
      <w:marTop w:val="0"/>
      <w:marBottom w:val="0"/>
      <w:divBdr>
        <w:top w:val="none" w:sz="0" w:space="0" w:color="auto"/>
        <w:left w:val="none" w:sz="0" w:space="0" w:color="auto"/>
        <w:bottom w:val="none" w:sz="0" w:space="0" w:color="auto"/>
        <w:right w:val="none" w:sz="0" w:space="0" w:color="auto"/>
      </w:divBdr>
    </w:div>
    <w:div w:id="886768559">
      <w:bodyDiv w:val="1"/>
      <w:marLeft w:val="0"/>
      <w:marRight w:val="0"/>
      <w:marTop w:val="0"/>
      <w:marBottom w:val="0"/>
      <w:divBdr>
        <w:top w:val="none" w:sz="0" w:space="0" w:color="auto"/>
        <w:left w:val="none" w:sz="0" w:space="0" w:color="auto"/>
        <w:bottom w:val="none" w:sz="0" w:space="0" w:color="auto"/>
        <w:right w:val="none" w:sz="0" w:space="0" w:color="auto"/>
      </w:divBdr>
      <w:divsChild>
        <w:div w:id="959604674">
          <w:marLeft w:val="0"/>
          <w:marRight w:val="0"/>
          <w:marTop w:val="0"/>
          <w:marBottom w:val="0"/>
          <w:divBdr>
            <w:top w:val="none" w:sz="0" w:space="0" w:color="auto"/>
            <w:left w:val="none" w:sz="0" w:space="0" w:color="auto"/>
            <w:bottom w:val="none" w:sz="0" w:space="0" w:color="auto"/>
            <w:right w:val="none" w:sz="0" w:space="0" w:color="auto"/>
          </w:divBdr>
        </w:div>
        <w:div w:id="387152606">
          <w:marLeft w:val="0"/>
          <w:marRight w:val="0"/>
          <w:marTop w:val="0"/>
          <w:marBottom w:val="0"/>
          <w:divBdr>
            <w:top w:val="none" w:sz="0" w:space="0" w:color="auto"/>
            <w:left w:val="none" w:sz="0" w:space="0" w:color="auto"/>
            <w:bottom w:val="none" w:sz="0" w:space="0" w:color="auto"/>
            <w:right w:val="none" w:sz="0" w:space="0" w:color="auto"/>
          </w:divBdr>
        </w:div>
      </w:divsChild>
    </w:div>
    <w:div w:id="1175074561">
      <w:bodyDiv w:val="1"/>
      <w:marLeft w:val="0"/>
      <w:marRight w:val="0"/>
      <w:marTop w:val="0"/>
      <w:marBottom w:val="0"/>
      <w:divBdr>
        <w:top w:val="none" w:sz="0" w:space="0" w:color="auto"/>
        <w:left w:val="none" w:sz="0" w:space="0" w:color="auto"/>
        <w:bottom w:val="none" w:sz="0" w:space="0" w:color="auto"/>
        <w:right w:val="none" w:sz="0" w:space="0" w:color="auto"/>
      </w:divBdr>
      <w:divsChild>
        <w:div w:id="1012876485">
          <w:marLeft w:val="0"/>
          <w:marRight w:val="0"/>
          <w:marTop w:val="0"/>
          <w:marBottom w:val="0"/>
          <w:divBdr>
            <w:top w:val="none" w:sz="0" w:space="0" w:color="auto"/>
            <w:left w:val="none" w:sz="0" w:space="0" w:color="auto"/>
            <w:bottom w:val="none" w:sz="0" w:space="0" w:color="auto"/>
            <w:right w:val="none" w:sz="0" w:space="0" w:color="auto"/>
          </w:divBdr>
        </w:div>
      </w:divsChild>
    </w:div>
    <w:div w:id="1589314737">
      <w:bodyDiv w:val="1"/>
      <w:marLeft w:val="0"/>
      <w:marRight w:val="0"/>
      <w:marTop w:val="0"/>
      <w:marBottom w:val="0"/>
      <w:divBdr>
        <w:top w:val="none" w:sz="0" w:space="0" w:color="auto"/>
        <w:left w:val="none" w:sz="0" w:space="0" w:color="auto"/>
        <w:bottom w:val="none" w:sz="0" w:space="0" w:color="auto"/>
        <w:right w:val="none" w:sz="0" w:space="0" w:color="auto"/>
      </w:divBdr>
    </w:div>
    <w:div w:id="1986473059">
      <w:bodyDiv w:val="1"/>
      <w:marLeft w:val="0"/>
      <w:marRight w:val="0"/>
      <w:marTop w:val="0"/>
      <w:marBottom w:val="0"/>
      <w:divBdr>
        <w:top w:val="none" w:sz="0" w:space="0" w:color="auto"/>
        <w:left w:val="none" w:sz="0" w:space="0" w:color="auto"/>
        <w:bottom w:val="none" w:sz="0" w:space="0" w:color="auto"/>
        <w:right w:val="none" w:sz="0" w:space="0" w:color="auto"/>
      </w:divBdr>
      <w:divsChild>
        <w:div w:id="2121022384">
          <w:marLeft w:val="0"/>
          <w:marRight w:val="0"/>
          <w:marTop w:val="0"/>
          <w:marBottom w:val="0"/>
          <w:divBdr>
            <w:top w:val="none" w:sz="0" w:space="0" w:color="auto"/>
            <w:left w:val="none" w:sz="0" w:space="0" w:color="auto"/>
            <w:bottom w:val="none" w:sz="0" w:space="0" w:color="auto"/>
            <w:right w:val="none" w:sz="0" w:space="0" w:color="auto"/>
          </w:divBdr>
        </w:div>
      </w:divsChild>
    </w:div>
    <w:div w:id="207423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7DEC9-7251-4451-BAD0-FC813FB37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579</Words>
  <Characters>3478</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Maciek</dc:creator>
  <cp:keywords/>
  <dc:description/>
  <cp:lastModifiedBy>Maciek</cp:lastModifiedBy>
  <cp:revision>2</cp:revision>
  <dcterms:created xsi:type="dcterms:W3CDTF">2024-09-10T07:23:00Z</dcterms:created>
  <dcterms:modified xsi:type="dcterms:W3CDTF">2024-09-10T07:23:00Z</dcterms:modified>
</cp:coreProperties>
</file>