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Grupa Esotiq &amp; Henderson odnotowuje pięciokrotny wzrost zysku netto w I półroczu 2024 roku</w:t>
      </w:r>
    </w:p>
    <w:p/>
    <w:p>
      <w:pPr/>
      <w:r>
        <w:rPr>
          <w:sz w:val="22.5"/>
          <w:szCs w:val="22.5"/>
          <w:b w:val="1"/>
          <w:bCs w:val="1"/>
        </w:rPr>
        <w:t xml:space="preserve">Grupa Esotiq &amp; Henderson, lider w branży ekskluzywnej bielizny, odnotowała w pierwszym półroczu 2024 roku imponujące wyniki finansowe, w tym rekordowy wynik drugiego kwartału w historii spółki. Skonsolidowane przychody ze sprzedaży wyniosły 135,6 mln zł, co oznacza wzrost o 11% r/r. Zysk brutto na sprzedaży osiągnął 94,2 mln zł (wzrost o 17% r/r), przy marży brutto na poziomie 69%, wyższej o 3 p.p. EBITDA wzrosła o 35% r/r do 17,4 mln zł, a EBIT o 59% do 8,3 mln zł. Zysk netto wzrósł pięciokrotnie, osiągając 6,1 mln zł (+393% r/r).</w:t>
      </w:r>
    </w:p>
    <w:p/>
    <w:p>
      <w:pPr/>
      <w:r>
        <w:rPr/>
        <w:t xml:space="preserve">- Tak znakomite wyniki to efekt naszej skutecznej polityki sprzedażowej skoncentrowanej na sprzedaży najnowszej, atrakcyjnej handlowo kolekcji. Dużym powodzeniem u naszych klientek cieszyła się zaproponowana w tym okresie linia kostiumów kąpielowych powstała przy współpracy z Marceliną Zawadzką.Zoptymalizowana struktura zapasów umożliwiła nam utrzymanie wysokiej marży brutto na sprzedaży, którą konsekwentnie umacniamy – w samym drugim kwartale 2024 roku marża brutto wyniosła aż 73%. Esotiq Club, który na koniec czerwca 2024 roku liczył 1,5 mln lojalnych klientów wspiera maksymalizację sprzedaży we wszystkich kanałach dystrybucji. Cieszymy się również z bardzo pozytywnego przyjęcia nowej kolekcji AW24, co jest zapowiedzią dalszych sukcesów.Nasze produkty wyróżniają się zaawansowaną technologią lepiej odpowiadając na potrzeby klientek niż produkty konkurencji. Potwierdzeniem tego sukcesu jest powodzenie naszych bestsellerowych produktów a jeden z nich został już sprzedany w ilości powyżej 2 mln sztuk. Oferujemy usługę brafittingu w salonach stacjonarnych oraz online, co znacząco wzmacnia więź klientek z marką i podnosi satysfakcję z zakupów - mówi Diana Okular, Członek Zarządu ESOTIQ &amp; Henderson.</w:t>
      </w:r>
    </w:p>
    <w:p/>
    <w:p>
      <w:pPr/>
      <w:r>
        <w:rPr/>
        <w:t xml:space="preserve">- Wartość i ilość przygotowanego stoku dają nam pewność, że jesteśmy dobrze przygotowani na nadchodzące miesiące. Nasza struktura towarowa sprzyja realizacji kolejnych wyzwań – dominują w niej nowoczesne, atrakcyjne handlowo produkty, które cieszą się dużym zainteresowaniem klientów – komentuje Diana Okular.</w:t>
      </w:r>
    </w:p>
    <w:p/>
    <w:p>
      <w:pPr/>
      <w:r>
        <w:rPr/>
        <w:t xml:space="preserve"> - Przed nami najbardziej intensywny okres roku. Wprowadzamy do sprzedaży nową linię ESOTIQ BLOOVII, dedykowaną młodszej klientce, z atrakcyjnym designem i konkurencyjnymi cenami, co otworzy przed nami nowe segmenty rynku. W połączeniu z naszą mocną pozycją rynkową i szeroką bazą lojalnych klientów mamy pewność, że druga połowa roku przyniesie oczekiwane wyniki – dodaje Diana Okular.</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2026-11-08T17:18:10+01:00</dcterms:created>
  <dcterms:modified xsi:type="dcterms:W3CDTF">2026-11-08T17:18:10+01:00</dcterms:modified>
</cp:coreProperties>
</file>

<file path=docProps/custom.xml><?xml version="1.0" encoding="utf-8"?>
<Properties xmlns="http://schemas.openxmlformats.org/officeDocument/2006/custom-properties" xmlns:vt="http://schemas.openxmlformats.org/officeDocument/2006/docPropsVTypes"/>
</file>