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rusza z globalną kampanią internetową</w:t>
      </w:r>
    </w:p>
    <w:p/>
    <w:p>
      <w:pPr/>
      <w:r>
        <w:rPr>
          <w:sz w:val="22.5"/>
          <w:szCs w:val="22.5"/>
          <w:b w:val="1"/>
          <w:bCs w:val="1"/>
        </w:rPr>
        <w:t xml:space="preserve">Drutex, jeden z europejskich liderów na rynku stolarki otworowej, stawia na nowe technologie związane z cyfryzacją. Właśnie rusza z globalną kampanią wizerunkową w sieci, skierowaną do Klientów B2B oraz B2C, w kraju i za granicą. Długoterminowy plan zakłada dalsze rozszerzanie działań poprzez kanały digitalowe, pozwalające na wzmacnianie rozpoznawalności marki oraz promowanie nowych produktów.</w:t>
      </w:r>
    </w:p>
    <w:p/>
    <w:p>
      <w:pPr/>
      <w:r>
        <w:rPr/>
        <w:t xml:space="preserve">– Ruszamy z globalną kampanią wizerunkową skierowaną do naszych Klientów w kraju oraz na rynkach eksportowych. W Europie, poza Polską, rozpoczniemy od strategicznie najważniejszych dla nas rynków – niemieckiego i włoskiego, płynnie przechodząc na kolejne. Do dalszego budowania świadomości marki Drutex oraz prezentacji nowych produktów chcemy wykorzystać social media, narzędzia Google czy też inne narzędzia służące do marketingu w sieci. Kampanię adresujemy zarówno do klientów B2B jak też B2C. To początek szerszych działań, jakie zamierzamy realizować w internecie. Długoterminowy plan zakłada dalsze rozszerzanie aktywności poprzez kanały digitalowe, pozwalające na wzmacnianie wizerunku marki oraz promowanie nowych produktów. Chcemy dotrzeć do jak najszerszego grona odbiorów by zaprezentować nasze atuty – mówi Tomasz Szymański, Dyrektor Marketingu Drutex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2026-11-08T17:21:04+01:00</dcterms:created>
  <dcterms:modified xsi:type="dcterms:W3CDTF">2026-11-08T17:21:04+01:00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