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SA: Mieliśmy bardzo mocny IV kw. Rok 2026 może być jeszcze lepszy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zakończył 2025 rok mocnym wzrostem wyniku operacyjnego powiększonego o amortyzację (EBITDA) oraz zysku netto. Spółka posiada wysoki, dobrze zdywersyfikowany portfel zamówień i z optymizmem patrzy na 2026 rok, licząc na kolejną falę dynamicznych wzrostów wyników.</w:t>
      </w:r>
    </w:p>
    <w:p/>
    <w:p>
      <w:pPr/>
      <w:r>
        <w:rPr/>
        <w:t xml:space="preserve">- Wyraźnie odwracamy trend naszych wyników, wchodząc w nową falę dynamicznych wzrostów. Trudniejszy dla nas okres wywołany wojną na Ukrainie jest już za nami. Znaleźliśmy nowe rynki i opracowaliśmy nowe produkty, rozwijając się jednocześnie w kilku obszarach. Inwestujemy w technologie oraz działania R&amp;D. Duży nacisk kładziemy na ekspansję zagraniczną. Planujemy uruchomienie biznesu w Uzbekistanie oraz utworzenie trzech spółek zależnych na Bliskim Wschodzie. Jednocześnie będziemy rezygnować z nierentownych biznesów lub wymagających długiego okresu do uzyskania satysfakcjonujących efektów.Z optymizmem patrzymy na 2026 rok. Posiadamy wysoki, dobrze zdywersyfikowany backlog i chcemy dalej dynamicznie rosnąć i poprawiać wyniki. Stale umacniamy swoją pozycję w obszarze Trakcji &amp; Transportu. Jednocześnie dużo dostarczamy w segmencie infrastruktury wojskowej np. przetwornice do zasilania statków powietrznych. Na tej bazie rozwijamy także dostawy naszch produktów do lotnictwa cywilnego. Równie intensywnie pracujemy nad pozyskaniem znaczących zamówień w sektorze energetyki atomowej, zarówno w kraju jak też za graniczą. Warto też dodać, że uczestniczymy w dostawach naszych produktów do Ukrainy i to w wielu obszarach, co w dużej mierze zastępuje nam eksport do Rosji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2026-11-08T17:20:39+01:00</dcterms:created>
  <dcterms:modified xsi:type="dcterms:W3CDTF">2026-11-08T17:20:39+01:00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