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OKNOLUX pierwszym zwycięzcą w prestiżowym projekcie „40 samochodów na 40-lecie Drutex”</w:t>
      </w:r>
    </w:p>
    <w:p/>
    <w:p>
      <w:pPr/>
      <w:r>
        <w:rPr>
          <w:sz w:val="22.5"/>
          <w:szCs w:val="22.5"/>
          <w:b w:val="1"/>
          <w:bCs w:val="1"/>
        </w:rPr>
        <w:t xml:space="preserve">Firma OKNOLUX S.C. wygrała w konkursie Drutex Sprint Challenge, organizowanym w ramach świętowania 40-lecia firmy z Bytowa i dedykowanym wszystkim parterom działającym na całym świecie. Zwycięzca odjedzie nowym samochodem. W puli nagród pozostało 39 aut, które jeszcze w tym roku trafią do dealerów czołowego polskiego producenta stolarki otworowej o globalnym zasięgu.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2026-11-08T17:20:39+01:00</dcterms:created>
  <dcterms:modified xsi:type="dcterms:W3CDTF">2026-11-08T17:20:39+01:00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