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Drutex startuje z nowym konkursem w Dniu Dziecka</w:t>
      </w:r>
    </w:p>
    <w:p/>
    <w:p>
      <w:pPr/>
      <w:r>
        <w:rPr>
          <w:sz w:val="22.5"/>
          <w:szCs w:val="22.5"/>
          <w:b w:val="1"/>
          <w:bCs w:val="1"/>
        </w:rPr>
        <w:t xml:space="preserve">Z okazji Dnia Dziecka czołowy europejski producent stolarki otworowej uruchamia wyjątkowy konkurs Drutex Little Champion, dedykowany swoim partnerom handlowym. W ramach projektu i strategicznego partnerstwa z FC Bayern, czterdziestu najlepszych partnerów zdobędzie podwójne pakiety z atrakcjami dla dzieci na legendarnym stadionie Allianz Arena i centrum treningowym.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2026-07-28T00:45:11+02:00</dcterms:created>
  <dcterms:modified xsi:type="dcterms:W3CDTF">2026-07-28T00:45:11+02:00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