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z rekordowym backlogiem i dynamiczną poprawą marży EBITDA</w:t>
      </w:r>
    </w:p>
    <w:p/>
    <w:p>
      <w:pPr/>
      <w:r>
        <w:rPr>
          <w:sz w:val="22.5"/>
          <w:szCs w:val="22.5"/>
          <w:b w:val="1"/>
          <w:bCs w:val="1"/>
        </w:rPr>
        <w:t xml:space="preserve">APS Energia, czołowy polski projektant i producent gwarantowanych systemów zasilania, kontynuuje poprawę wyników i rentowności. W pierwszym półroczu 2026 roku marża EBITDA Grupy wzrosła o blisko 4 p.p., do 10,4 proc., a wynik EBIT zwiększył się o 155 proc. r/r. Jednocześnie Grupa zbudowała rekordowy backlog o wartości przekraczającej 114 mln zł, który stanowi solidną bazę do rozwoju w kolejnych okresach.</w:t>
      </w:r>
    </w:p>
    <w:p/>
    <w:p>
      <w:pPr/>
      <w:r>
        <w:rPr/>
        <w:t xml:space="preserve">– Za nami udane pierwsze półrocze, w którym kontynuowaliśmy poprawę wyników. Szczególnie cieszy dynamiczny wzrost wyniku operacyjnego. Konsekwentnie realizujemy naszą strategię i widzimy wymierne efekty tych działań. W minionym półroczu pozyskaliśmy finansowanie bankowe, które zapewnia nam stabilne warunki do realizacji planów rozwojowych. Dzięki wynegocjowanym warunkom kredytowym liczymy także na istotne obniżenie kosztów obsługi zadłużenia.W drugą połowę roku weszliśmy z rekordowym poziomem backlogu, który daje nam solidne podstawy do optymistycznego spojrzenia na kolejne miesiące. Szczególnie mocny jest portfel zamówień w segmentach Trakcji i Transportu, obejmujący projekty zarówno na bieżący rok, jak i kolejne lata. Warto również pamiętać o sezonowości naszej działalności – druga połowa roku jest dla Grupy zazwyczaj okresem wyższej aktywności i lepszych wyników. Spodziewamy się, że podobnie może być również w tym roku – mówi Piotr Szewczyk, Prezes Zarządu APS Energia.</w:t>
      </w:r>
    </w:p>
    <w:p/>
    <w:p>
      <w:pPr/>
      <w:r>
        <w:rPr/>
        <w:t xml:space="preserve">– Aktywnie poszukujemy kolejnych zleceń w kluczowych dla APS Energia segmentach. Jednocześnie rozwijamy działalność w nowych obszarach, takich jak lotnictwo cywilne czy centra danych, gdzie możemy wykorzystać nasze kompetencje w zakresie systemów zasilania. W najbliższych miesiącach spodziewamy się również pozyskania dużych zamówień w sektorze energetycznym z Azji Centralnej oraz projektów związanych z OZE w Polsce i innych krajach Europy – mówi Piotr Szewczyk.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2026-11-08T17:06:16+01:00</dcterms:created>
  <dcterms:modified xsi:type="dcterms:W3CDTF">2026-11-08T17:06:16+01:00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