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poprawił wynik EBITDA o 85 proc.</w:t>
      </w:r>
    </w:p>
    <w:p/>
    <w:p>
      <w:pPr/>
      <w:r>
        <w:rPr>
          <w:sz w:val="22.5"/>
          <w:szCs w:val="22.5"/>
          <w:b w:val="1"/>
          <w:bCs w:val="1"/>
        </w:rPr>
        <w:t xml:space="preserve">Początek roku był dla polskiego producenta leków okresem dynamicznego wzrostu sprzedaży Onko BCG oraz wyniku EBITDA. W efekcie marża na poziomie zysku operacyjnego powiększonego o amortyzację wzrosła z 13,1 proc. do ponad 25 proc. To zasługa konsekwentnie realizowanej strategii związanej ze zwiększaniem sprzedaży wysokomarżowych produktów.</w:t>
      </w:r>
    </w:p>
    <w:p/>
    <w:p>
      <w:pPr/>
      <w:r>
        <w:rPr/>
        <w:t xml:space="preserve">- Cieszy skokowy wzrost sprzedaży Onko BCG, co wynika z sukcesywnie realizowanej strategii rozwoju. W pierwszym kwartale istotnie zwiększył się nasz eksport produktów Onko do krajów UE, gdzie odnotowaliśmy aż 170 proc. wzrost r/r. Intensywnie pracujemy nad dalszym zwiększaniem sprzedaży zagranicznej. Na krajowym rynku kwartalne przychody w segmencie Onko zwiększyły się o blisko 78 proc. Tak istotne wzrosty dobrze wróżą na przyszłość.Zgodnie z przyjętą strategią konsekwentnie stawiamy na zwiększanie udziału segmentu Onko, który cechuje się wyższą rentownością. W minionym kwartale jego udział wzrósł z 49 proc. do 67 proc. w ogólnej sprzedaży – komentuje Mieczysław Starkowicz, prezes zarządu Synthaverse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2026-11-08T17:20:33+01:00</dcterms:created>
  <dcterms:modified xsi:type="dcterms:W3CDTF">2026-11-08T17:20:33+01:00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