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Drutex: Nowa generacja stolarki otworowej redukuje straty ciepła nawet o połowę</w:t>
      </w:r>
    </w:p>
    <w:p/>
    <w:p>
      <w:pPr/>
      <w:r>
        <w:rPr>
          <w:sz w:val="22.5"/>
          <w:szCs w:val="22.5"/>
          <w:b w:val="1"/>
          <w:bCs w:val="1"/>
        </w:rPr>
        <w:t xml:space="preserve">Nawet do 40 proc. ciepła ucieka przez nieszczelne okna i drzwi – można to zmniejszyć i to o połowę. Takie możliwości daje stolarka otworowa o najwyższych właściwościach termoizolacyjnych, z 7-komorowym, zaawansowanym technologicznie profilem, unikatowym pakietem czteroszybowym i specjalną uszczelką drugiej generacji EPDM, dodatkowo wyposażona w wysokiej jakości rolety.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2026-11-08T17:20:55+01:00</dcterms:created>
  <dcterms:modified xsi:type="dcterms:W3CDTF">2026-11-08T17:20:55+01:00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