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zbudowała wysoki backlog i z optymizmem patrzy w przyszłość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wszedł w ostatni kwartał br. z dużym portfelem zamówień, co napawa optymizmem na końcówkę 2024 roku. Jednocześnie zarząd widzi ożywienie na rynkach strategicznie ważnych dla Grupy i liczy, że 2025 rok będzie przełomowy pod względem rozwoju.</w:t>
      </w:r>
    </w:p>
    <w:p/>
    <w:p>
      <w:pPr/>
      <w:r>
        <w:rPr/>
        <w:t xml:space="preserve">- Na spadek sprzedaży wpływ miało m. in. bardzo wymagające otoczenie oraz przesunięcia w realizacji wielu inwestycji. Niemniej weszliśmy w czwarty kwartał z bardzo wysokim backlogiem, a duża liczba zamówień napawa optymizmem na końcówkę tego roku. Z reguły ostatni kwartał decyduje o naszych wynikach w całym roku i podobnie powinno być także tym razem. Zgodnie z planem realizujemy strategię rozwoju w czterech głównych kierunkach – Trakcji i Transporcie (T&amp;T), OZE i magazynach energii, sektorze infrastruktury wojskowej oraz energetyce atomowej. Oczekujemy, że portfel zamówień do końca bieżącego roku znacząco się zwiększy, co pozwoli wejść w następny rok z optymizmem – komentuje Piotr Szewczyk, Prezes Zarządu APS Energia.</w:t>
      </w:r>
    </w:p>
    <w:p/>
    <w:p>
      <w:pPr/>
      <w:r>
        <w:rPr/>
        <w:t xml:space="preserve">- Obecnie bierzemy udział w wielu przetargach za granicą, ale też w kraju, oczekując na pozyskanie nowych zamówień. Liczymy, że rok 2025 będzie dla nas przełomowy pod względem rozwoju. Przygotowujemy się do skokowego zwiększenia zasobów kadrowych, potencjału R&amp;D, a także stworzenia dodatkowej powierzchni produkcyjnej. To wszystko jest odpowiedzią na obserwowane i spodziewane ożywienie na rynkach, które są dla nas strategicznie ważne w dalszym rozwoju. Widzimy to chociażby w obszarze T&amp;T, czego potwierdzeniem są ostatnio pozyskane kontrakty. Zmiany legislacyjne oraz pojawiające się subsydia powodują, że mamy ożywienie na rynku OZE, m.in. w obszarze magazynów energii czy e-mobility. Dużym potencjałem wzrostu charakteryzują się także segment infrastruktury wojskowej oraz energetyka atomowa – dodaje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2026-11-08T17:20:59+01:00</dcterms:created>
  <dcterms:modified xsi:type="dcterms:W3CDTF">2026-11-08T17:20:59+01:00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