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Mistrzowskie Okno Drutex – partnerzy handlowi powalczą o unikatową nagrodę</w:t>
      </w:r>
    </w:p>
    <w:p/>
    <w:p>
      <w:pPr/>
      <w:r>
        <w:rPr>
          <w:sz w:val="22.5"/>
          <w:szCs w:val="22.5"/>
          <w:b w:val="1"/>
          <w:bCs w:val="1"/>
        </w:rPr>
        <w:t xml:space="preserve">Czołowy europejski producent stolarki otworowej rusza z kolejnym projektem skierowanym do partnerów handlowych, w którym do wygrania jest wyjątkowa nagroda. Do zwycięzcy trafi okno Drutex z autografami piłkarzy FC Bayern – absolutny rarytas, unikatowe trofeum o wysokiej wartości kolekcjonerskiej.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2026-11-08T17:10:16+01:00</dcterms:created>
  <dcterms:modified xsi:type="dcterms:W3CDTF">2026-11-08T17:10:16+01:00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