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EBITDA Grupy CDRL wzrosła o ponad połowę</w:t>
      </w:r>
    </w:p>
    <w:p/>
    <w:p>
      <w:pPr/>
      <w:r>
        <w:rPr>
          <w:sz w:val="22.5"/>
          <w:szCs w:val="22.5"/>
          <w:b w:val="1"/>
          <w:bCs w:val="1"/>
        </w:rPr>
        <w:t xml:space="preserve">Grupa CDRL zakończyła ubiegły rok wzrostem wyniku EBITDA o ponad 54 proc. do blisko 17 mln zł. Właściciel marek odzieżowych Coccodrillo, Lemon Explore, Mokida Petit Bijou i Broel konsekwentnie rozwija sprzedaż e-commerce i marketplace, planuje dalszą optymalizację działalności sieci sklepów w kraju i za granicą oraz rozwój nowych lokalizacji, jednocześnie systematycznie rozszerzając ofertę produktową.</w:t>
      </w:r>
    </w:p>
    <w:p/>
    <w:p>
      <w:pPr/>
      <w:r>
        <w:rPr/>
        <w:t xml:space="preserve">- Ubiegły rok był dla Grupy CDRL okresem stabilizacji oraz systematycznego wzmacniania pozycji rynkowej. Konsekwentna realizacja działań operacyjnych i strategicznych pozwoliła, po latach turbulencji makroekonomicznych wywołanych m.in. pandemią COVID-19, wojną w Ukrainie oraz utratą rynków wschodnich, wrócić na ścieżkę wzrostu. Pomimo utrzymującego się nie w pełni przewidywalnego otoczenia gospodarczego, wdrażana polityka optymalizacyjna oraz utrzymanie dyscypliny kosztowej przełożyły się na poprawę efektywności operacyjnej, tworząc solidne fundamenty dla dalszego rozwoju. Chcemy kontynuować dalszą odbudowę pozycji rynkowej Grupy w segmencie odzieży i akcesoriów dziecięcych w Polsce oraz Europie Środkowo-Wschodniej. Naszym strategicznym celem pozostaje stabilny, zyskowny wzrost oraz dalsze umacnianie pozycji rynkowej – komentuje Marek Dworczak, Prezes Zarządu CDRL SA.</w:t>
      </w:r>
    </w:p>
    <w:p/>
    <w:p>
      <w:pPr/>
      <w:r>
        <w:rPr/>
        <w:t xml:space="preserve">- W kolejnych latach planujemy optymalizację działalności sieci sklepów w kraju i za granicą, rozwój nowych lokalizacji oraz wzmacnianie sprzedaży w istniejących punktach. Jednocześnie intensyfikujemy rozwój kanałów e-commerce, koncentrując się na pozyskiwaniu nowych klientów oraz budowaniu trwałych relacji z klientami lojalnymi. W dalszej ekspansji ważne będzie także systematyczne rozszerzanie oferty produktowej, odpowiadającej na zmieniające się potrzeby rynku – dodaje Marek Dworczak.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2026-11-08T17:10:26+01:00</dcterms:created>
  <dcterms:modified xsi:type="dcterms:W3CDTF">2026-11-08T17:10:26+01:00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