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Wzrost przychodów i rekordowy backlog Grupy Pekabex po trzech kwartałach 2024 roku</w:t>
      </w:r>
    </w:p>
    <w:p/>
    <w:p>
      <w:pPr/>
      <w:r>
        <w:rPr>
          <w:sz w:val="22.5"/>
          <w:szCs w:val="22.5"/>
          <w:b w:val="1"/>
          <w:bCs w:val="1"/>
        </w:rPr>
        <w:t xml:space="preserve">Lider prefabrykacji i budownictwa systemowego zanotował po trzech kwartałach 2024 roku przychody na poziomie 1,22 mld zł (+3,4 % rdr), jednocześnie osiągając historyczny rekord portfela zamówień o wartości 1,85 mld zł. Grupa optymalizuje koszty i intensywnie pracuje nad zwiększeniem marżowości kontraktów, czego wymierne efekty mają być widoczne w 2025 roku.</w:t>
      </w:r>
    </w:p>
    <w:p/>
    <w:p>
      <w:pPr/>
      <w:r>
        <w:rPr/>
        <w:t xml:space="preserve">Trzeci kwartał 2024 roku, podobnie jak pierwsza jego połowa, upłynął pod znakiem licznych wyzwań i trudności, z jakimi mierzy się branża budowlana. Podejmujemy zdecydowane działania w celu poprawy wyników operacyjnych. Optymalizujemy koszty i intensywnie pracujemy nad zwiększeniem marżowości naszych kontraktów. Pierwsze rezultaty podjętych działań już obserwujemy, a wymierne efekty będą widoczne w 2025 roku, przy wsparciu przewidywanej poprawy sytuacji rynkowej. Naszym priorytetem jest stabilny rozwój Grupy Pekabex, zarówno na rynku krajowym, jak i międzynarodowym. Rekordowy portfel zamówień na poziomie 1,85 mld zł to dowód zaufania klientów i efekt naszej strategii wzmacniania pozycji lidera prefabrykacji w Polsce i Europie – powiedział Robert Jędrzejowski, prezes zarządu Pekabex.</w:t>
      </w:r>
    </w:p>
    <w:p/>
    <w:p>
      <w:pPr/>
      <w:r>
        <w:rPr/>
        <w:t xml:space="preserve">Druga połowa 2023 roku i 2024 rok są trudne dla branży budowlanej, ze względu na ograniczoną liczbę kontraktów na rynku polskim i europejskim. Wysoka wciąż inflacja, wysokie stopy procentowe oraz zmieniające się czynniki geopolityczne nie wpływały pozytywnie na ożywienie nastrojów inwestycyjnych w tym sektorze gospodarki. Istotna dla koniunktury jest także sytuacja na rynku surowców, polityka gospodarcza oraz niestabilna sytuacja geopolityczna. W kolejnych kwartałach, m.in. dzięki podjętym działaniom optymalizacyjnym, spodziewamy się stabilizacji marż w segmencie generalnego wykonawstwa i jej poprawy w segmencie prefabrykacji – powiedział Robert Jędrzejowski, prezes zarządu Pekabex.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2026-11-08T17:21:02+01:00</dcterms:created>
  <dcterms:modified xsi:type="dcterms:W3CDTF">2026-11-08T17:21:02+01:00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