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zaprasza Partnerów Handlowych na hitowy mecz Manchester United – AC Milan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liderów branży stolarki otworowej w Europie, rusza z wakacyjnym projektem skierowanym do swoich Partnerów Handlowych. W ramach akcji Drutex Super Match do wygrania jest aż 16 podwójnych zaproszeń do loży VIP na prestiżowe spotkanie Manchester United – AC Milan.</w:t>
      </w:r>
    </w:p>
    <w:p/>
    <w:p>
      <w:pPr/>
      <w:r>
        <w:rPr/>
        <w:t xml:space="preserve">„Zapraszamy naszych Partnerów Handlowych na prawdziwy hit piłkarskiego lata 2026 w Polsce. To nie tylko nagroda, ale przede wszystkim wyraz naszej wdzięczności za wspólnie budowany sukces. Chcemy, aby nasza współpraca wykraczała poza czysto biznesową płaszczyznę i stawała się prawdziwie partnerska, emocjonująca oraz pełna wspólnych przeżyć. Drutex Super Match to właśnie taka inicjatywa — biznes, który daje frajdę, dostarcza wyjątkowych emocji i pozwala realizować własne pasje” — podkreśla Tomasz Szymański, Dyrektor Marketingu Drutex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2026-11-08T17:10:18+01:00</dcterms:created>
  <dcterms:modified xsi:type="dcterms:W3CDTF">2026-11-08T17:10:18+01:00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