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zadowolony z III kwartału, zarząd negocjuje nowe kontrakty eksportowe</w:t>
      </w:r>
    </w:p>
    <w:p/>
    <w:p>
      <w:pPr/>
      <w:r>
        <w:rPr>
          <w:sz w:val="22.5"/>
          <w:szCs w:val="22.5"/>
          <w:b w:val="1"/>
          <w:bCs w:val="1"/>
        </w:rPr>
        <w:t xml:space="preserve">Polski producent leków, pomimo wymagającego otoczenia, osiągnął w minionym półroczu marżę brutto ze sprzedaży na poziomie 57,9 proc., wyższą r/r o 1,3 p.p. Zarząd prowadzi szereg zaawansowanych negocjacji z dużymi kontrahentami na rynkach Ameryki Południowej oraz Europy, rozbudowując rynek zbytu w związku ze spodziewanym wzrostem produkcji.</w:t>
      </w:r>
    </w:p>
    <w:p/>
    <w:p>
      <w:pPr/>
      <w:r>
        <w:rPr/>
        <w:t xml:space="preserve">- Przychody minionego półrocza były tylko niewiele niższe niż rok wcześniej. Jednak należy pamiętać, że w zeszłym roku drugi kwartał był wyjątkowo dobry, co pozwoliło w całym pierwszym półroczu uzyskać rekordowe wyniki, wyraźnie zawyżające ubiegłoroczną bazę. W tym roku mamy bardziej zrównoważone osiągnięcia w każdym z kwartałów. Niemniej swoje piętno na wynikach odciskają wyższe koszty związane z uruchamianiem strategicznych inwestycji – CBR i nowego zakładu Onko BCG oraz rosnące koszty energii i płac. W wynikach minionego półrocza warto zwrócić uwagę na przepływy gotówkowe z działalności operacyjnej, które z ujemnych zamieniły się w dodatnie. Świadczy to o dobrej sprzedaży, generującej regularne napływy gotówki i dobrej płynności finansowe oraz zdrowych fundamentach. Jesteśmy przekonani, że będzie to trwały trend. Dodatkowo optymizmem napawa trzeci kwartał br., co może zapowiadać, że całe II półrocze powinno być lepsze niż pierwsza część roku – mówi Mieczysław Starkowicz, prezes zarządu Synthaverse SA.</w:t>
      </w:r>
    </w:p>
    <w:p/>
    <w:p>
      <w:pPr/>
      <w:r>
        <w:rPr/>
        <w:t xml:space="preserve">- Prowadzimy dużo zaawansowanych rozmów z międzynarodowymi kontrahentami. Są wśród nich czołowi gracze obecni na rynkach Ameryki Południowej oraz europejskich, na których nie jesteśmy jeszcze obecni. Część z tych negocjacji będziemy chcieli finalizować jeszcze w tym roku, realizując krok po kroku naszą strategię rozwoju – dodaje Mieczysław Starkowicz.</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2026-11-08T17:21:01+01:00</dcterms:created>
  <dcterms:modified xsi:type="dcterms:W3CDTF">2026-11-08T17:21:01+01:00</dcterms:modified>
</cp:coreProperties>
</file>

<file path=docProps/custom.xml><?xml version="1.0" encoding="utf-8"?>
<Properties xmlns="http://schemas.openxmlformats.org/officeDocument/2006/custom-properties" xmlns:vt="http://schemas.openxmlformats.org/officeDocument/2006/docPropsVTypes"/>
</file>