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skokowo poprawia zyski</w:t>
      </w:r>
    </w:p>
    <w:p/>
    <w:p>
      <w:pPr/>
      <w:r>
        <w:rPr>
          <w:sz w:val="22.5"/>
          <w:szCs w:val="22.5"/>
          <w:b w:val="1"/>
          <w:bCs w:val="1"/>
        </w:rPr>
        <w:t xml:space="preserve">Producent specjalistycznych kontenerów wypracował w pierwszym półroczu br. rekordowe wyniki, poprawiając zysk operacyjny blisko 15-krotnie. Spółka posiada dużo projektów w portfelu, co pozwala zarządowi z umiarkowanym optymizmem patrzeć w przyszłość.</w:t>
      </w:r>
    </w:p>
    <w:p/>
    <w:p>
      <w:pPr/>
      <w:r>
        <w:rPr/>
        <w:t xml:space="preserve">- Za nami rekordowe półrocze pod względem wyników. To efekt pozyskanych wcześniej zleceń produkcyjnych na odpowiednim poziomie i z odpowiednią marżą. Dobre wyniki udało się osiągnąć pomimo rosnących kosztów, m.in. energii elektrycznej i cieplnej oraz płac. Z umiarkowanym optymizmem patrzymy w przyszłość. Posiadamy dużo projektów w portfelu, co sprawia, że długoterminowe perspektywy Zrembu są dobre. Jeśli chodzi o obecne półrocze br. to chcielibyśmy by nie było gorsze niż pierwszych sześć miesięcy. Z myślą o dalszym rozwoju mocno inwestujemy w infrastrukturę produkcyjną, maszyny CNC, modernizację hal czy też kwestie związane z energetyką. W ostatnich latach wydaliśmy na te cele kilkanaście milionów złotych. Warto podkreślić, że fundusze te pochodziły z wypracowanych środków własnych, co nie wpłynęło na wzrost zadłużenia – komentuje Krzysztof Kosiorek-Sobolewski, prezes Zrembu-Chojnice.</w:t>
      </w:r>
    </w:p>
    <w:p/>
    <w:p>
      <w:pPr/>
      <w:r>
        <w:rPr/>
        <w:t xml:space="preserve">- Oczekiwane inwestycje w obszar sił zbrojnych zarówno w Polsce jak i Skandynawii czy Niemczech, gdzie jesteśmy obecni, wskazują na dość wysoką dynamikę zamówień, których beneficjentem może być nasza spółka. Do tego wojna w Ukrainie pokazała, jak istotnym elementem jest obszar mobilności w armii, co z kolei jest oparte w znacznej mierze na systemach kontenerowych. Posiadamy dużą wiedzę w zakresie produkcji kontenerów, łącznie z ich projektowaniem, ale również współpracujemy z podmiotami specjalizującymi się w ich wyposażaniu, m.in. w systemy elektroniczne i optyczne – dodaje Krzysztof Kosiorek-Sobolewski.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2026-11-08T17:20:13+01:00</dcterms:created>
  <dcterms:modified xsi:type="dcterms:W3CDTF">2026-11-08T17:20:13+01:00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