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Brand24 dalej rośnie</w:t>
      </w:r>
    </w:p>
    <w:p/>
    <w:p>
      <w:pPr/>
      <w:r>
        <w:rPr>
          <w:sz w:val="22.5"/>
          <w:szCs w:val="22.5"/>
          <w:b w:val="1"/>
          <w:bCs w:val="1"/>
        </w:rPr>
        <w:t xml:space="preserve">Niemal o jedną czwartą wrosły w pierwszym półroczu przychody Brand24 w stosunku do tego samego okresu w 2023 r. według szacunkowych danych zarządu. Spółka chce utrzymać to tempo w najbliższych kwartałach.</w:t>
      </w:r>
    </w:p>
    <w:p/>
    <w:p>
      <w:pPr/>
      <w:r>
        <w:rPr/>
        <w:t xml:space="preserve">Wprowadziliśmy do oferty dla największych klientów szereg nowych narzędzi AI i chcemy monetyzować pojawiające się funkcje premium. Dlatego testujemy wyższe ceny abonamentów – na razie na nowym klientach. Jeśli zostaną dobrze przyjęte, to stopniowo będziemy stosować je do całego portfolio – wyjaśnia Michał Sadowski, prezes Brand24.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2026-11-08T17:20:22+01:00</dcterms:created>
  <dcterms:modified xsi:type="dcterms:W3CDTF">2026-11-08T17:20:22+01:00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