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7"/>
          <w:szCs w:val="27"/>
          <w:b w:val="1"/>
          <w:bCs w:val="1"/>
        </w:rPr>
        <w:t xml:space="preserve">Wystartowała finałowa rozgrywka konkursu Drutex League</w:t>
      </w:r>
    </w:p>
    <w:p/>
    <w:p>
      <w:pPr/>
      <w:r>
        <w:rPr>
          <w:sz w:val="22.5"/>
          <w:szCs w:val="22.5"/>
          <w:b w:val="1"/>
          <w:bCs w:val="1"/>
        </w:rPr>
        <w:t xml:space="preserve">Drutex, jeden z liderów stolarki otworowej w Europie, świętując swoje 40-lecie, rozpoczyna ostatni etap akcji Drutex League skierowanej do Partnerów Handlowych. Na zwycięzców czeka 12 samochodów marki Skoda, a dodatkowo szansa na powalczenie o Mercedesa GLC.</w:t>
      </w:r>
    </w:p>
    <w:p/>
    <w:p>
      <w:pPr/>
      <w:r>
        <w:rPr/>
        <w:t xml:space="preserve">– Drutex League to nie tylko rywalizacja o atrakcyjne nagrody. To przede wszystkim narzędzie realnego wsparcia sprzedaży i budowania długofalowej współpracy z naszymi Partnerami. Cieszymy się, że kolejne edycje naszych programów – od Drutex League po Celebrating Champions czy Mistrzowskie Okno Drutex – spotykają się z tak dużym zainteresowaniem, co świadczy o ich wyjątkowości – podkreśla Tomasz Szymański, Dyrektor Marketingu Drutex S.A.</w:t>
      </w:r>
    </w:p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2026-11-08T17:10:22+01:00</dcterms:created>
  <dcterms:modified xsi:type="dcterms:W3CDTF">2026-11-08T17:10:22+01:00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