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Synthaverse z finansowaniem ARP na 45 mln zł. To kluczowy element refinansowania zadłużenia</w:t>
      </w:r>
    </w:p>
    <w:p/>
    <w:p>
      <w:pPr/>
      <w:r>
        <w:rPr>
          <w:sz w:val="22.5"/>
          <w:szCs w:val="22.5"/>
          <w:b w:val="1"/>
          <w:bCs w:val="1"/>
        </w:rPr>
        <w:t xml:space="preserve">Polski producent leków uzyska pożyczkę od Agencji Rozwoju Przemysłu (ARP) z przeznaczeniem na refinansowanie zadłużenia. Jest to kluczowy element planowanych zmian w strukturze finansowania Spółki, które mają przynieść oszczędności szacowane na około 5,32 mln zł rocznie, poprawić płynność finansową oraz stworzyć korzystniejsze warunki do dalszego rozwoju działalności.</w:t>
      </w:r>
    </w:p>
    <w:p/>
    <w:p>
      <w:pPr/>
      <w:r>
        <w:rPr/>
        <w:t xml:space="preserve">– Ostatnie miesiące poświęciliśmy na przygotowanie Spółki do nowego etapu rozwoju, w którym w pełni wykorzystamy potencjał zrealizowanych już inwestycji. Prace te prowadziliśmy w dwóch obszarach: biznesowym oraz optymalizacji struktury finansowania. Finansowanie z Agencji Rozwoju Przemysłu to kluczowy element naszego planu refinansowania i ważny krok w kierunku przebudowy struktury finansowania Spółki oraz stworzenia solidnych podstaw do jej dalszego rozwoju. Naszym celem jest całkowita spłata zobowiązania wobec ACP CREDIT i SCA SICAV-RAIF oraz zbudowanie bardziej stabilnego modelu finansowania. Dlatego łączymy pożyczkę ARP z refinansowaniem kredytu bankowego oraz planowanym pozyskaniem kapitału z emisji akcji. Chcemy w ten sposób nie tylko zamknąć dotychczasowy etap finansowania, ale przede wszystkim zoptymalizować koszty finansowania i zwiększyć elastyczność finansową Spółki oraz jej możliwości działania w kolejnych latach – mówi Artur Chodkowski, Prezes Zarządu Synthaverse SA.</w:t>
      </w:r>
    </w:p>
    <w:p/>
    <w:p>
      <w:pPr/>
      <w:r>
        <w:rPr/>
        <w:t xml:space="preserve">– Refinansowanie ma zapewnić Synthaverse stabilniejsze warunki finansowania w okresie poprzedzającym uruchomienie komercyjnej produkcji w nowym zakładzie Onko BCG. Według naszych szacunków realizacja planowanej struktury finansowania pozwoli obniżyć roczne koszty odsetkowe do około 40 proc. poziomu szacowanego na 2026 rok, co oznacza oszczędność około 5,32 mln zł rocznie. To istotne odciążenie dla Spółki, które zwiększy jej zdolność do finansowania działalności i rozwoju.Równie ważne jest pozyskanie finansowania ARP na 10 lat, z możliwością skorzystania z karencji w spłacie kapitału do 24 miesięcy. Pozwoliłoby to rozpocząć spłatę kapitału już po planowanym uruchomieniu komercyjnej produkcji w nowym zakładzie Onko BCG i lepiej dopasować obsługę zadłużenia do przewidywanych przepływów pieniężnych.Decyzję ARP poprzedziła szczegółowa analiza naszego modelu finansowego. Jej pozytywny wynik umacnia nas w przekonaniu, że przyjęty w ostatnich miesiącach plan refinansowania odpowiada potrzebom Spółki, a założenia dotyczące jej dalszego rozwoju mają solidne podstawy – podkreśla Dariusz Kucowicz, Członek Zarządu Synthaverse SA.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2026-11-08T17:06:11+01:00</dcterms:created>
  <dcterms:modified xsi:type="dcterms:W3CDTF">2026-11-08T17:06:11+01:00</dcterms:modified>
</cp:coreProperties>
</file>

<file path=docProps/custom.xml><?xml version="1.0" encoding="utf-8"?>
<Properties xmlns="http://schemas.openxmlformats.org/officeDocument/2006/custom-properties" xmlns:vt="http://schemas.openxmlformats.org/officeDocument/2006/docPropsVTypes"/>
</file>