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Cognor miał niemal 27 mln zł EBITDA w 1 kw. 2024 r.</w:t>
      </w:r>
    </w:p>
    <w:p/>
    <w:p>
      <w:pPr/>
      <w:r>
        <w:rPr>
          <w:sz w:val="22.5"/>
          <w:szCs w:val="22.5"/>
          <w:b w:val="1"/>
          <w:bCs w:val="1"/>
        </w:rPr>
        <w:t xml:space="preserve">W pierwszych trzech miesiącach roku Cognor odczuł lekkie ożywienie na rynku stali, co przełożyło się na 20-procentowy wzrost przychodów względem czwartego kwartału 2023 r.</w:t>
      </w:r>
    </w:p>
    <w:p/>
    <w:p>
      <w:pPr/>
      <w:r>
        <w:rPr/>
        <w:t xml:space="preserve">- Obecnie branża czeka na ożywienie w inwestycjach, które wciąż jeszcze nie nadchodzi. Środki z KPO musimy, jako kraj, wydatkować pod dużą presją czasu, istnieje więc nadzieja, że w drugiej połowie roku koniunktura powróci. Liczymy też na większe zamówienia z rynku automotive, gdzie dynamika produkcji zauważalnie rośnie – mówi Krzysztof Zoła. 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2026-11-08T17:20:51+01:00</dcterms:created>
  <dcterms:modified xsi:type="dcterms:W3CDTF">2026-11-08T17:20:51+01:00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