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z kolejną Gwiazdą Buildera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stolarki otworowej w Europie, ponownie został laureatem prestiżowej nagrody. Redakcja miesięcznika „Builder” i PwC Polska, autorzy Rankingu Buildera – 100 największych producentów materiałów budowlanych, przyznały firmie z Bytowa tytuł „Gwiazdy Rankingu Buildera” w kategorii największe przychody w województwie pomorskim.</w:t>
      </w:r>
    </w:p>
    <w:p/>
    <w:p>
      <w:pPr/>
      <w:r>
        <w:rPr/>
        <w:t xml:space="preserve">- Po raz kolejny zostaliśmy docenieni za nasz dynamiczny rozwój. Tegoroczna nagroda cieszy szczególnie, bo w 2025 roku obchodzimy czterdziestą rocznicę powstania. Pokazaliśmy, że w Polsce można od podstaw zbudować silną markę globalną, która jest obecna na całym świecie. Chcemy kontynuować naszą ekspansję, realizując przemyślaną strategię, opartą o wielowymiarowe inwestycje. Z myślą o ciągłym rozwoju inwestujemy co roku setki milionów złotych, co pozwala nam być prekursorem wielu innowacyjnych rozwiązań i stale wyznaczać nowe trendy na rynku stolarki otworowej–  komentuje firma Drutex.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2026-11-08T17:20:48+01:00</dcterms:created>
  <dcterms:modified xsi:type="dcterms:W3CDTF">2026-11-08T17:20:48+01:00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