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Synthaverse liczy na lepszą końcówkę roku</w:t>
      </w:r>
    </w:p>
    <w:p/>
    <w:p>
      <w:pPr/>
      <w:r>
        <w:rPr>
          <w:sz w:val="22.5"/>
          <w:szCs w:val="22.5"/>
          <w:b w:val="1"/>
          <w:bCs w:val="1"/>
        </w:rPr>
        <w:t xml:space="preserve">Przesunięcie zamówień dotyczących sprzedaży Distreptazy oraz wzrost kosztów związanych z uruchomieniem nowych inwestycji miały istotny wpływ na gorsze wyniki Spółki w pierwszym półroczu tego roku. Wśród pozytywnych czynników można wymienić rosnącą sprzedaż Onco BCG i rozpoczęcie dostaw do Francji. Długofalowo ważna powinna okazać się możliwość podwojenia produkcji kluczowego produktu leczniczego z portfolio spółki.</w:t>
      </w:r>
    </w:p>
    <w:p/>
    <w:p>
      <w:pPr/>
      <w:r>
        <w:rPr/>
        <w:t xml:space="preserve">- Spadek sprzedaży Distreptazy wiązał się z przesunięciem zamówień na drugie półrocze br. Wpływ na niższą sprzedaż szczepionki przeciwgruźliczej miało przeniesienie na wrzesień przetargu organizowanego przez Ministerstwo Zdrowia. Spadki te udało się częściowo zrekompensować wyższą sprzedażą Onko BCG, w 60-proc. eksportową. Jednocześnie warto podkreślić, że w minionym półroczu rozpoczęliśmy sprzedaż tego produktu na rynek francuski – wskazuje Mieczysław Starkowicz, prezes zarządu Synthaverse SA.</w:t>
      </w:r>
    </w:p>
    <w:p/>
    <w:p>
      <w:pPr/>
      <w:r>
        <w:rPr/>
        <w:t xml:space="preserve">- Wpływ na słabsze wyniki miał spadek przychodów oraz wysokie koszty związane z uruchamianiem nowego Centrum Badawczo-Rozwojowego oraz zakładu produkcyjnego Onko BCG, w efekcie czego nastąpił wzrost kosztów amortyzacji o 3,7 mln zł. W minionym półroczu zmagaliśmy się także z presją inflacyjną oraz podwyżkami stawek minimalnych wynagrodzeń, co w rezultacie skutkowało podniesieniem kosztów osobowych o 1,7 mln zł. Poprawy wyników spodziewamy się w drugim półroczu, choć trzeci kwartał może być jeszcze wymagający. We wrześniu otrzymaliśmy zgodę Urzędu Rejestracji Produktów Leczniczych, Wyrobów Medycznych i Produktów Biobójczych na niemal dwukrotne zwiększenie wielkości wytwarzanych serii Onko BCG 100. Dzięki temu aktualne możliwości produkcyjne, strategicznego w portfolio Synthavers leku, wzrosną do 3000 fiolek (± 20 proc.) na jedną serię i to począwszy od IV kwartału br. Należy przy tym zaznaczyć, że udoskonalanie technologii produkcyjnej wiązało się z przeprowadzaniem wymaganych prób i testów, co w konsekwencji skutkowało chwilowymi przestojami produkcyjnymi i mogło czasowo wpływać na komercyjną sprzedaż – podkreśla Mieczysław Starkowicz, prezes zarządu Synthaverse SA.</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2026-11-08T17:21:03+01:00</dcterms:created>
  <dcterms:modified xsi:type="dcterms:W3CDTF">2026-11-08T17:21:03+01:00</dcterms:modified>
</cp:coreProperties>
</file>

<file path=docProps/custom.xml><?xml version="1.0" encoding="utf-8"?>
<Properties xmlns="http://schemas.openxmlformats.org/officeDocument/2006/custom-properties" xmlns:vt="http://schemas.openxmlformats.org/officeDocument/2006/docPropsVTypes"/>
</file>