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Nasz Prąd SA złożył do KNF wniosek o zatwierdzenie prospektu</w:t>
      </w:r>
    </w:p>
    <w:p/>
    <w:p>
      <w:pPr/>
      <w:r>
        <w:rPr>
          <w:sz w:val="22.5"/>
          <w:szCs w:val="22.5"/>
          <w:b w:val="1"/>
          <w:bCs w:val="1"/>
        </w:rPr>
        <w:t xml:space="preserve">Lider transformacji energetycznej wśród prosumentów złożył do Komisji Nadzoru Finansowego wniosek o zatwierdzenie prospektu emisyjnego. Spółka planuje w przyszłym roku przeprowadzić ofertę publiczną akcji, a następnie debiut na rynku głównym Giełdy Papierów Wartościowych. Planowana wartość oferty publicznej ma osiągnąć 50 mln zł, w tym 30 mln zł z nowej emisji akcji. Atutami Nasz Prąd SA są dynamiczny rozwój na szybko rosnącym rynku, skokowy wzrost przychodów i zysków oraz regularnie wypłacana dywidenda.</w:t>
      </w:r>
    </w:p>
    <w:p/>
    <w:p>
      <w:pPr/>
      <w:r>
        <w:rPr/>
        <w:t xml:space="preserve">- Jesteśmy dynamicznie rosnącą firmą i z pomocą rozpoznawalności, którą da nam GPW, będziemy kontynuować ten trend. Liczymy również, że pozyskanie środków z rynku kapitałowego pomoże w realizacji ambitnych celów zmierzających do dalszego skalowania biznesu. Kolejnym ważnym aspektem debiutu na giełdzie jest realizacja obietnic złożonych uczestnikom realizowanych w Spółce programów motywacyjnych.Do debiutu na GPW przygotowujemy się intensywnie. Chcemy zaprezentować się Inwestorom jako silna fundamentalnie Spółka, z roku na rok notująca skokową poprawę wyników i wypłacającą regularnie dywidendę – do tej pory całość osiągniętych zysków. Również w kolejnych latach zamierzamy dzielić się z akcjonariuszami wypracowanym zyskiem, w formie dywidendy bądź też buy backu, wypłacając większość zarobionych środków – komentuje Marcin Frączek, Prezes Zarządu Nasz Prąd SA.</w:t>
      </w:r>
    </w:p>
    <w:p/>
    <w:p>
      <w:pPr/>
      <w:r>
        <w:rPr/>
        <w:t xml:space="preserve">- Widzimy duży potencjał wzrostu na rynku magazynów energii. W Polsce mamy około 50 tys. tego typu instalacji, a rząd planuje by było ich 200 tys. do końca III kwartału 2027 r., zaś rynek w perspektywie średnioterminowej można szacować na kilkaset tysięcy sztuk. W tym celu przygotowywany jest nowy program skierowany do prosumentów – kontynuacja programu Mój Prąd, w którym wsparcie będzie skoncentrowane na rozwoju przydomowych magazynów energii stanowiący jeden z priorytetów Ministerstwa Klimatu i Środowiska. W związku z tym, oczekujemy boomu inwestycyjnego dot. magazynów energii, co najmniej w okresie najbliższych 2-3 lat – wskazuje Prezes Zarządu Nasz Prąd SA.</w:t>
      </w:r>
    </w:p>
    <w:p/>
    <w:p>
      <w:pPr/>
      <w:r>
        <w:rPr/>
        <w:t xml:space="preserve">- Z mojej perspektywy fajny biznes to biznes, który generuje cash. Nie interesuję mnie prowadzenie działalności dla generowania wirtualnych przychodów – mówi Marcin Frączek. To właśnie wydłużający się czas realizacji projektów w ramach programu Czyste Powietrze i związane z tym opóźnienia w płatnościach spowodowały wycofanie się Spółki z uczestnictwa w tym programie już w II kwartale 2024 r. (czyli jeszcze długo przed zawieszeniem jego funkcjonowania pod koniec listopada 2024 r.). Zdroworozsądkowe podejście do biznesu uchroniło nas przed płynnościowymi problemami, które dotknęły, a nawet wyeliminowały wielu naszych konkurentów, jednocześnie pozwalając nam, jako tym którzy uniknęli zawirowań, na zwiększanie udziałów w innych segmentach rynku – kontynuuje Prezes Zarządu.</w:t>
      </w:r>
    </w:p>
    <w:p/>
    <w:p>
      <w:pPr/>
      <w:r>
        <w:rPr/>
        <w:t xml:space="preserve">- Dużo obiecujemy sobie po rynku zamówień publicznych. Realizacja celów ograniczania emisyjności budynków wymagać musi znacznych inwestycji po stronie instytucji samorządu terytorialnego oraz jednostek budżetowych, które jednocześnie mogą korzystać ze znaczących środków unijnych z KPO oraz środków budżetowych. W średnim terminie wpłynie to istotnie na zwiększenie ilości i skali przetargów. Staramy się na to przygotować rozbudowując dział ofertowy i dział wykonawczy. Środki pozyskane z IPO pozwolą nam na zwiększenie dedykowanych przetargom stanów magazynowych oraz zwiększenie płynności niezbędnej dla uczestnictwa w przetargach z budżetami powyżej 10 mln zł – dodaje Marcin Frączek. </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2026-11-08T17:21:01+01:00</dcterms:created>
  <dcterms:modified xsi:type="dcterms:W3CDTF">2026-11-08T17:21:01+01:00</dcterms:modified>
</cp:coreProperties>
</file>

<file path=docProps/custom.xml><?xml version="1.0" encoding="utf-8"?>
<Properties xmlns="http://schemas.openxmlformats.org/officeDocument/2006/custom-properties" xmlns:vt="http://schemas.openxmlformats.org/officeDocument/2006/docPropsVTypes"/>
</file>