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Synthaverse wchodzi z Onko BCG 100 na cztery nowe rynki</w:t>
      </w:r>
    </w:p>
    <w:p/>
    <w:p>
      <w:pPr/>
      <w:r>
        <w:rPr>
          <w:sz w:val="22.5"/>
          <w:szCs w:val="22.5"/>
          <w:b w:val="1"/>
          <w:bCs w:val="1"/>
        </w:rPr>
        <w:t xml:space="preserve">Polski producent leków zawarł umowę na rejestrację, dostawę i dystrybucję produktu leczniczego Onko BCG 100 do Austrii, Węgier, Czech i na Słowację. Minimalna wartość zamówień w pierwszych 5 latach obowiązywania umowy została określona łącznie na poziomie 5,55 mln euro (23,6 mln zł).</w:t>
      </w:r>
    </w:p>
    <w:p/>
    <w:p>
      <w:pPr/>
      <w:r>
        <w:rPr/>
        <w:t xml:space="preserve">- Podpisaliśmy kolejną ważną umowę, która wpisuje się w naszą strategię wchodzenia z Onko BCG na kolejne, europejskie rynki we współpracy z silnym partnerem, działającym w tym regionie. Z firmą Biodrug udanie współpracujemy od lat, m.in. wprowadzając szczepionkę przeciwgruźliczą BCG 10 na rynkach słowackim, rumuńskim i węgierskim.Pozyskana właśnie umowa sprawia, że już niemal całą Europę zabezpieczamy w obszarze dostawy Onko BCG. Dzięki nowym kontraktom nie tylko zwiększamy dywersyfikację odbiorców. Czynimy to również z myślą o planowanym wzroście produkcji w związku z uruchomieniem nowego zakładu Onko BCG. Chcemy dalej kontynuować ekspansję zagraniczną, również na innych kontynentach – komentuje Mieczysław Starkowicz, prezes zarządu Synthaverse SA.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2026-11-08T17:20:51+01:00</dcterms:created>
  <dcterms:modified xsi:type="dcterms:W3CDTF">2026-11-08T17:20:51+01:00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