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planuje utworzenie spółek na Bliskim Wschodzie i w Uzbekistanie</w:t>
      </w:r>
    </w:p>
    <w:p/>
    <w:p>
      <w:pPr/>
      <w:r>
        <w:rPr>
          <w:sz w:val="22.5"/>
          <w:szCs w:val="22.5"/>
          <w:b w:val="1"/>
          <w:bCs w:val="1"/>
        </w:rPr>
        <w:t xml:space="preserve">Czołowy w kraju projektant i producent systemów zasilania gwarantowanego kontynuuje ekspansję na rynkach zagranicznych i planuje utworzenie spółek zależnych w Katarze lub Zjednoczonych Emiratach Arabskich oraz w Uzbekistanie. Efektem działań biznesowych za granicą jest rekordowy portfel zamówień.</w:t>
      </w:r>
    </w:p>
    <w:p/>
    <w:p>
      <w:pPr/>
      <w:r>
        <w:rPr/>
        <w:t xml:space="preserve">- Od wielu lat aktywnie działamy na zagranicznych rynkach, zdobywając szereg kontraktów, co przełożyło się na rekordowy portfel zamówień. W planach mamy utworzenie spółki zależnej w Katarze lub Zjednoczonych Emiratach Arabskich. Projekt ten jest na bardzo zaawansowanym etapie realizacji. Podobnie w Uzbekistanie planujemy powołanie spółki zależnej z lokalnym partnerem – podkreśla Prezes Zarządu APS Energia Piotr Szewczyk.</w:t>
      </w:r>
    </w:p>
    <w:p/>
    <w:p>
      <w:pPr/>
      <w:r>
        <w:rPr/>
        <w:t xml:space="preserve">- Kontynuujemy inwestycje w sektorze T&amp;T zmierzające do rozwoju nowych produktów i w obszarze infrastruktury ładowania związanej z e-mobility, które będą skutkowały wzrostem sprzedaży. Grupa chce dynamicznie rosnąć poprzez rozwijanie i sprzedaż rozwiązań niezbędnych w transformacji energetycznej w Polsce i za granicą. Ciekawie wyglądają też nasze perspektywy rozwoju w obszarze infrastruktury wojskowej. Mamy zapewnione pełne finansowanie naszych działań, a środki pochodzą z kilku różnych źródeł – zaznacza Piotr Szewczyk.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2026-11-08T17:20:56+01:00</dcterms:created>
  <dcterms:modified xsi:type="dcterms:W3CDTF">2026-11-08T17:20:56+01:00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