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APS Energia pozyskała duże zamówienie w segmencie T&amp;T i wzmacnia rekordowy backlog</w:t>
      </w:r>
    </w:p>
    <w:p/>
    <w:p>
      <w:pPr/>
      <w:r>
        <w:rPr>
          <w:sz w:val="22.5"/>
          <w:szCs w:val="22.5"/>
          <w:b w:val="1"/>
          <w:bCs w:val="1"/>
        </w:rPr>
        <w:t xml:space="preserve">Czołowy w kraju projektant i producent gwarantowanych systemów zasilania dostarczy maksymalnie 161 zestawów przetwornic statycznych o maksymalnej wartości 38,4 mln zł spółce PKP Intercity Remtrak. APS Energia chce dalej, dynamicznie rosnąć w segmencie Trakcji &amp; Transportu (T&amp;T) i w związku z tym planuje budowę nowego zakładu produkcyjnego.</w:t>
      </w:r>
    </w:p>
    <w:p/>
    <w:p>
      <w:pPr/>
      <w:r>
        <w:rPr/>
        <w:t xml:space="preserve">- Pozyskany kontrakt będzie jednym z większych realizowanych przez Spółkę i kolejnym w ramach kooperacji z PKP Intercity Remtrak, co dowodzi stabilnej i dobrze rozwijającej się współpracy. To zamówienie oraz następne, które mogą do nas trafić z rynku T&amp;T jeszcze w tym roku, a także zdobyte wcześniejsze kontrakty sprawiają, że będziemy mieli rekordowy pakiet zamówień w segmencie Trakcji &amp; Transportu, który zapewnia nam produkcję przez najbliższe trzy lata. T&amp;T to strategiczny kierunek rozwoju Spółki. Widząc rosnące zapotrzebowaniem na nasze produkty planujemy rozszerzenie zasobów produkcyjnych, co będzie wiązało się z budową nowego zakładu na działce sąsiadującej z obecnym zakładem w Stanisławowie Pierwszym. Dzięki tej inwestycji pozyskamy nowe linie technologiczne, które dodatkowo uzupełnią ofertę o nowoczesne i innowacyjne rozwiązania oczekiwane przez rynek, m.in. napędy i systemy przetwarzania energii. Chcemy być dobrze przygotowani na zwiększony poziom inwestycji w sektorze T&amp;T, w którym planowane są ogromne nakłady, chociażby w ramach projektu CPK – ponad 130 mld zł wynosi ogólny budżet, z czego około 77 mld zł ma być przeznaczone na infrastrukturę transportową. Zamierzamy być beneficjentami przy realizacji dużych inwestycji w obszarze Trakcji &amp; Transportu – komentuje Piotr Szewczyk, Prezes Zarządu APS Energia.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2026-11-08T17:20:49+01:00</dcterms:created>
  <dcterms:modified xsi:type="dcterms:W3CDTF">2026-11-08T17:20:49+01:00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