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Grupa Pekabex przygotowuje się do poprawy koniunktury</w:t>
      </w:r>
    </w:p>
    <w:p/>
    <w:p>
      <w:pPr/>
      <w:r>
        <w:rPr>
          <w:sz w:val="22.5"/>
          <w:szCs w:val="22.5"/>
          <w:b w:val="1"/>
          <w:bCs w:val="1"/>
        </w:rPr>
        <w:t xml:space="preserve">Lider nowoczesnego budownictwa systemowego w Polsce zanotował w pierwszym kwartale 2024 roku 324,57 mln zł skonsolidowanych przychodów ze sprzedaży (-16,15 proc. rdr). Grupa może się pochwalić największym jak dotąd portfelem zleceń, który na koniec marca br. był wyższy rdr o ponad 90 proc. i wynosił 1,85 mld zł. Kwota do realizacji w tym roku to 1,15 mld zł.</w:t>
      </w:r>
    </w:p>
    <w:p/>
    <w:p>
      <w:pPr/>
      <w:r>
        <w:rPr/>
        <w:t xml:space="preserve">Jestem dobrej myśli jeśli chodzi o kolejne kwartały br., po dekoniunkturze spodziewamy się szybkiej i znaczącej poprawy koniunktury. Przede wszystkim na rynku mieszkaniowym: mamy produkt, który jest idealną odpowiedzią na potrzeby współczesnych miast, szczególnie w kontekście rosnącego zapotrzebowania na mieszkania w Polsce i Europie, potrzeby wzmocnienia samorządowego segmentu rynku mieszkaniowego jak i coraz krótszy okres na wykorzystanie przyznanych Polsce środków z KPO. Posiadamy nowatorskie rozwiązania, obejmujące zarówno doradztwo, projektowanie, produkcję, transport oraz montaż prefabrykatów, a także kompleksowe realizowanie obiektów w formule generalnego wykonawstwa – powiedział Robert Jędrzejowski, prezes zarządu Pekabex.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2026-11-08T17:20:09+01:00</dcterms:created>
  <dcterms:modified xsi:type="dcterms:W3CDTF">2026-11-08T17:20:09+01:00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