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APS Energia pozyskała 8 mln zł na realizację rekordowego backlogu</w:t>
      </w:r>
    </w:p>
    <w:p/>
    <w:p>
      <w:pPr/>
      <w:r>
        <w:rPr>
          <w:sz w:val="22.5"/>
          <w:szCs w:val="22.5"/>
          <w:b w:val="1"/>
          <w:bCs w:val="1"/>
        </w:rPr>
        <w:t xml:space="preserve">Profesor Antoni Dmowski, jeden z założycieli APS Energia i głównych akcjonariuszy udzielił pożyczki Spółce. Pozyskane środki zasilą kapitał obrotowy i pozwolą zrealizować rekordowy portfel zamówień, o którym Spółka informowała wcześniej. Obecny backlog projektanta i producenta gwarantowanych systemów zasilania jest ponad dwukrotnie wyższy niż rok temu.</w:t>
      </w:r>
    </w:p>
    <w:p/>
    <w:p>
      <w:pPr/>
      <w:r>
        <w:rPr/>
        <w:t xml:space="preserve">- Zdobycie dodatkowych środków na rozwój to dobra wiadomość dla Spółki. Pozyskane w ten sposób fundusze zasilą nasz kapitał obrotowy. Spółka potrzebuje dodatkowych środków na realizację portfela zamówień, który w ostatnich miesiącach utrzymuje się na rekordowym poziomie. Nasz obecny backlog jest ponad dwa razy wyższy niż posiadany rok wcześniej. Zdobywane w ostatnich kwartałach zamówienia dodatkowo powodują, że w najbliższych latach wejdziemy w szczyt produkcyjny, co będzie wymagało kolejnych inwestycji – wybudowania nowej fabryki w Stanisławowie Pierwszym i zatrudnienia dodatkowych osób – komentuje Piotr Szewczyk, Prezes Zarządu APS Energia.</w:t>
      </w:r>
    </w:p>
    <w:p/>
    <w:p>
      <w:pPr/>
      <w:r>
        <w:rPr/>
        <w:t xml:space="preserve">- Historycznie wysoki backlog pokazuje, że przyjęta przez nas strategia na lata 2022-2026 przynosi wymierne efekty. Chcemy dynamicznie rosnąc korzystając z transformacji energetycznej oraz dużego potencjału rynków, na których działamy. Szansę na to stwarzają m.in. fundusze z Krajowego Planu Odbudowy, które w dużej części będą finansowały inwestycje w wielu obszarach zaplanowane na kolejne lata – dodaje Piotr Szewczyk. 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2026-11-08T17:20:17+01:00</dcterms:created>
  <dcterms:modified xsi:type="dcterms:W3CDTF">2026-11-08T17:20:17+01:00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