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Energia: Marże w górę i rekordowy portfel zamówień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dynamicznie zwiększa sprzedaż i rentowność w obszarze trakcji i transportu, systemów zasilania na krajowym rynku oraz segmencie serwisu. Imponująco wygląda portfel zamówień Grupy. Wysoki poziom marż i rekordowy backlog pozwala z optymizmem patrzeć w przyszłość.</w:t>
      </w:r>
    </w:p>
    <w:p/>
    <w:p>
      <w:pPr/>
      <w:r>
        <w:rPr/>
        <w:t xml:space="preserve">- Tegoroczne wyniki są lepsze niż zakładaliśmy. Jednocześnie pokazują, że wracamy do normalności z okresu przedwojennego. W drugim kwartale br. nasze przychody powiększyły się o 29,5 proc. względem pierwszych trzech miesięcy 2025 roku. Jednocześnie marża brutto ze sprzedaży wzrosła kwartał do kwartału z 23 proc. do 30 proc. Wysoki poziom marż napawa optymizmem. Chcemy dalej dynamicznie rosnąć, korzystając z dużego potencjału rynków na których działamy. Zakładamy, że w drugim półroczu, zgodnie z efektem sezonowości, wypracujemy zyski. Dużo będzie zależało od tego w jakim stopniu będą wykorzystane moce produkcyjne. Niemniej poprawie wyników powinien sprzyjać fakt ustabilizowania działalności we wszystkich dziesięciu branżach, po wcześniejszych perturbacjach wywołanych czynnikami zewnętrznymi. Wśród tych sektorów są: energetyka konwencjonalna, atomowa, nafta i gaz, przemysł, trakcja i transport, OZE, e-mobility, magazyny energii, infrastruktura wojskowa oraz zasilanie cywilnych statków powietrznych. Zbudowaliśmy historycznie najwyższy backlog i mamy do zrealizowania jeszcze w tym roku zamówienia za ponad 41 mln zł, będziemy walczyć o kolejne . Jednocześnie spodziewamy się rekordowego portfela zamówień na najbliższe lata, gdzie jednym z motorów wzrostów powinien być obszar trakcji i transportu. Wprawdzie najwięcej zamówień spodziewamy się w tym obszarze, ale mocno pracujemy nad pozyskiwaniem kontraktów w innych, wcześniej wymienionych branżach. Prowadzimy intensywne badania R&amp;D w kluczowych dla nas dziedzinach rozwoju, w tym mające na celu wzmocnienie linii produkcyjnych dedykowanych dla produktów z obszaru infrastruktury wojskowej. Segment ten ma bardzo dobre perspektywy rozwój i chcemy z tego skorzystać. Liczmy na istotne zwiększenie zamówień w tym obszarze, w którym działamy już 22 lata. Startujemy w kolejnych postępowaniach przetargowych w kraju i za granicą. Warto przy tym podkreślić, że posiadamy wymagane koncesje MSWiA oraz jesteśmy certyfikowanym dostawcą NATO. W kolejnych okresach liczymy też na wzrost eksportu. Chcemy mocniej zaistnieć na rynkach Biskiego Wschodu i w związku z tym stoimy przed otwarciem spółek zależnych w Katarze, Zjednoczonych Emiratach Arabskich oraz Arabii Saudyjskiej. Badamy możliwość uruchomienia produkcji w Uzbekistanie, z myślą o stworzeniu centrum produkcyjnego dla Azji Centralnej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2026-11-08T17:20:46+01:00</dcterms:created>
  <dcterms:modified xsi:type="dcterms:W3CDTF">2026-11-08T17:20:46+01:00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