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Aplisens notuje spadki w III kwartale, ale strategia na 2024 rok wciąż w zasięgu</w:t>
      </w:r>
    </w:p>
    <w:p/>
    <w:p>
      <w:pPr/>
      <w:r>
        <w:rPr>
          <w:sz w:val="22.5"/>
          <w:szCs w:val="22.5"/>
          <w:b w:val="1"/>
          <w:bCs w:val="1"/>
        </w:rPr>
        <w:t xml:space="preserve">Grupa Kapitałowa Aplisens, lider w branży aparatury kontrolno-pomiarowej, opublikowała wyniki finansowe za trzeci kwartał 2024 roku. Pomimo spadków przychodów i pogorszenia marży brutto, spółka kontynuuje inwestycje, podtrzymując strategiczne cele na 2024 rok.</w:t>
      </w:r>
    </w:p>
    <w:p/>
    <w:p>
      <w:pPr/>
      <w:r>
        <w:rPr/>
        <w:t xml:space="preserve">Trzeci kwartał 2024 roku przyniósł nam spadki przychodów, co było wynikiem zarówno wysokiej bazy porównawczej, jak i trudnej sytuacji gospodarczej w Polsce oraz na rynkach europejskich. Niemniej jednak, dzięki dalszym inwestycjom i dywersyfikacji, widzimy realne szanse na odbicie w kolejnych okresach. Pozostajemy skupieni na realizacji strategicznych celów do 2025 roku – powiedział Adam Żurawski, prezes Aplisens.</w:t>
      </w:r>
    </w:p>
    <w:p/>
    <w:p>
      <w:pPr/>
      <w:r>
        <w:rPr/>
        <w:t xml:space="preserve">Pomimo licznych wyzwań, realizacja celów strategicznych na lata 2023–2025 wciąż pozostaje w zasięgu – dodaje Adam Żurawski.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2026-11-08T17:20:51+01:00</dcterms:created>
  <dcterms:modified xsi:type="dcterms:W3CDTF">2026-11-08T17:20:51+01:00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