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pozyskała długoterminowy kontrakt i skokowo zwiększa backlog</w:t>
      </w:r>
    </w:p>
    <w:p/>
    <w:p>
      <w:pPr/>
      <w:r>
        <w:rPr>
          <w:sz w:val="22.5"/>
          <w:szCs w:val="22.5"/>
          <w:b w:val="1"/>
          <w:bCs w:val="1"/>
        </w:rPr>
        <w:t xml:space="preserve">Czołowy w kraju projektant i producent gwarantowanych systemów zasilania dostarczy kolejne przetwornice statyczne do wagonów firmie H. Cegielski – Fabryka Pojazdów Szynowych. Nowe wieloletnie zamówienie skokowo zwiększa backlog APS Energia.</w:t>
      </w:r>
    </w:p>
    <w:p/>
    <w:p>
      <w:pPr/>
      <w:r>
        <w:rPr/>
        <w:t xml:space="preserve">- Pozyskany kontrakt będzie kolejnym realizowanym dla H. Cegielski – Fabryka Pojazdów Szynowych i zarazem istotnym pod względem wartości w segmencie Trakcji &amp; Transportu (T&amp;T), jak też całym obszarze działalności APS Energia. Jednocześnie jest kolejnym w ostatnich miesiącach dużym zamówieniem z rynku T&amp;T, jednego z głównych kierunków naszego rozwoju. Widać, że przyjęta przez nas strategia na lata 2022-2026 przynosi wymierne efekty, czego potwierdzeniem jest rekordowy portfel zamówień. Pozyskanie ostatniego kontraktu sprawiło, że backlog wzrósł skokowo z 96,6 mln zł posiadanych na koniec września br. Rośniemy nie tylko na rynku T&amp;T, ale również rozwijamy się w innych, kluczowych dla nas kierunkach strategicznych. Jeszcze w tym roku liczymy na pozyskanie kolejnych umów, a wśród nich powinien być projekt z zakresu e-mobility, dotyczący produkcji do 1 500 sztuk publicznych stacji ładowania samochodów elektrycznych, o czym sygnalizowaliśmy we wrześniu tego roku. Spodziewamy się też pierwszych, większych zamówień w obszarze magazynów energii – komentuje Piotr Szewczyk, Prezes Zarządu APS Energia.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2026-11-08T17:20:10+01:00</dcterms:created>
  <dcterms:modified xsi:type="dcterms:W3CDTF">2026-11-08T17:20:10+01:00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