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Drutex League i Royal League: Nowe auta dla mistrzów sprzedaży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liderów stolarki otworowej w Europie, nagrodził kolejnych zwycięzców prestiżowych konkursów kierowanych do swoich Partnerów Handlowych. Ośmiu laureatów odjechało nowymi Skodami Octavia, a jeden otrzymał Mercedesa-Benz GLC.</w:t>
      </w:r>
    </w:p>
    <w:p/>
    <w:p>
      <w:pPr/>
      <w:r>
        <w:rPr/>
        <w:t xml:space="preserve">– Budując trwałe relacje z naszymi Partnerami Handlowymi, nagradzamy najlepszych za realne wyniki sprzedażowe. Daje to motywację do dalszego rozwoju, a jednocześnie wzmacnia zaangażowanie naszych Dealerów działających na całym świecie. Dzięki takim programom jak Drutex League czy Drutex Royal League łączymy emocje z konsekwentnym działaniem – partnerzy widzą konkretne korzyści z efektywnej współpracy, a my budujemy silniejszą, bardziej zmotywowaną sieć dystrybucji. To inwestycja we wspólny sukces – podkreśla Tomasz Szymański, Dyrektor Marketingu Drutex S.A.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2026-11-08T17:10:17+01:00</dcterms:created>
  <dcterms:modified xsi:type="dcterms:W3CDTF">2026-11-08T17:10:17+01:00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