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ONDE: pierwsze półrocze z poprawą marżowości</w:t>
      </w:r>
    </w:p>
    <w:p/>
    <w:p>
      <w:pPr/>
      <w:r>
        <w:rPr>
          <w:sz w:val="22.5"/>
          <w:szCs w:val="22.5"/>
          <w:b w:val="1"/>
          <w:bCs w:val="1"/>
        </w:rPr>
        <w:t xml:space="preserve">22,7 mln zł zysku operacyjnego i 15,9 mln zł zysku netto zanotowało ONDE w I półroczu 2024 r. Dobre wyniki po 6 miesiącach to głównie zasługa segmentu developerskiego.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2026-11-08T17:20:31+01:00</dcterms:created>
  <dcterms:modified xsi:type="dcterms:W3CDTF">2026-11-08T17:20:31+01:00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