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Synthaverse zakończył restrukturyzację zadłużenia, priorytetem dalszy rozwój</w:t>
      </w:r>
    </w:p>
    <w:p/>
    <w:p>
      <w:pPr/>
      <w:r>
        <w:rPr>
          <w:sz w:val="22.5"/>
          <w:szCs w:val="22.5"/>
          <w:b w:val="1"/>
          <w:bCs w:val="1"/>
        </w:rPr>
        <w:t xml:space="preserve">Biotechnologiczna spółka spłaciła przed terminem ostatnią ratę w ramach zawartego w 2016 roku układu z wierzycielami. Niezależnie od przeznaczenia na spłatę wierzycieli w sumie prawie 97,1 mln zł, Synthaverse zdołał wybudował i uruchomił Zakład Produkcyjny Onko BCG oraz Centrum Badawczo-Rozwojowe, które kosztowały łącznie ponad 180 mln zł. i mają w ciągu najbliższych lat zapewnić skokowy wzrost. Teraz Spółka może skupić się wyłącznie na rozwoju i dalszej ekspansji w kraju oraz za granicą., a środki, które do tej pory szły na obsługę wierzycieli, mogą dodatkowo wzmocnić działalność operacyjną.</w:t>
      </w:r>
    </w:p>
    <w:p/>
    <w:p>
      <w:pPr/>
      <w:r>
        <w:rPr/>
        <w:t xml:space="preserve">– Pomimo realizacji dwóch strategicznych inwestycji, łącznie za ponad 180 mln zł, byliśmy w stanie jednocześnie spłacić wierzytelności w ramach realizowanego postępowania układowego. W ciągu ośmiu lat była to kwota prawie 97,1 mln zł. To dobitnie pokazuje, jak silne mamy podstawy i zdrowe fundamenty core biznesu. Jednocześnie dowodzi naszej skuteczności w realizowaniu przyjętej strategii, zarazem wskazując na potencjał, jaki drzemie w Synthaverse – komentuje Mieczysław Starkowicz, prezes zarządu Synthaverse.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2026-11-08T17:20:43+01:00</dcterms:created>
  <dcterms:modified xsi:type="dcterms:W3CDTF">2026-11-08T17:20:43+01:00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