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Synthaverse dynamicznie zwiększa sprzedaż i wynik EBITDA</w:t>
      </w:r>
    </w:p>
    <w:p/>
    <w:p>
      <w:pPr/>
      <w:r>
        <w:rPr>
          <w:sz w:val="22.5"/>
          <w:szCs w:val="22.5"/>
          <w:b w:val="1"/>
          <w:bCs w:val="1"/>
        </w:rPr>
        <w:t xml:space="preserve">Biotechnologiczna spółka zakończyła I półrocze 2026 r. wzrostem przychodów o ponad jedną trzecią i skokową poprawą wyniku EBITDA. W II półroczu chce kontynuować pozytywne trendy, wspierane przez rosnącą sprzedaż eksportową. Równolegle prowadzi działania zmierzające do optymalizacji i refinansowania zadłużenia.</w:t>
      </w:r>
    </w:p>
    <w:p/>
    <w:p>
      <w:pPr/>
      <w:r>
        <w:rPr/>
        <w:t xml:space="preserve">– Dynamika sprzedaży oraz istotna poprawa EBITDA w I półroczu stanowią dobry prognostyk na kolejne okresy. Konsekwentnie zwiększamy obecność za granicą – zrealizowaliśmy pierwszą w historii sprzedaż Onko BCG do Holandii oraz uzyskaliśmy pozwolenia na dopuszczenie produktu do obrotu w Serbii i Ekwadorze.W II półroczu oczekujemy kontynuacji pozytywnych trendów, wspieranych przez rosnący udział eksportu. Równolegle prowadzimy zaawansowane działania w zakresie optymalizacji i refinansowania struktury zadłużenia, co docelowo powinno pozwolić na istotne obniżenie kosztów finansowych. Naszym celem jest dalsze obniżanie kosztów, wzmocnienie bilansu i stworzenie warunków do dalszego rozwoju – komentuje Artur Chodkowski, Prezes Zarządu Synthaverse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2026-11-08T17:06:16+01:00</dcterms:created>
  <dcterms:modified xsi:type="dcterms:W3CDTF">2026-11-08T17:06:16+01:00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