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podpisuje umowę na rynek hiszpański i zapowiada dalszą ekspansję w Europie Środkowej i Ameryce Południowej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leków będzie współpracował z podmiotem należącym do indyjskiej grupy farmaceutycznej MSN Laboratories, w zakresie rejestracji, dostawy i dystrybucji produktu leczniczego Onko BCG 100 do Hiszpanii. Planowana wartość zamówień w pierwszych 5 latach obowiązywania umowy wyniesie blisko 17,9 mln euro, co jest jednym z najwyższych zamówień w historii firmy. Spółka kontynuuje ekspansję zagraniczną, zgodnie z przyjętą strategią, a wśród najbliższych planowanych rejestracji produktowych wskazuje kraje Ameryki Południowej oraz Europę Środkową.</w:t>
      </w:r>
    </w:p>
    <w:p/>
    <w:p>
      <w:pPr/>
      <w:r>
        <w:rPr/>
        <w:t xml:space="preserve">- Hiszpania jest obecnie jednym z priorytetowych rynków europejskich dla Onko BCG. Proces rejestracyjny prowadzony jest przed jednym z najbardziej wymagających organów regulacyjnych w Unii Europejskiej, co stanowi potwierdzenie wysokiej jakości i bezpieczeństwa produktu. Posiadamy podpisane umowy dystrybucyjne w kluczowych krajach Europy Zachodniej, co tworzy solidne fundamenty dla dalszej ekspansji eksportowej – komentuje Magdalena Sierocka, Dyrektor Exportu Synthaverse.</w:t>
      </w:r>
    </w:p>
    <w:p/>
    <w:p>
      <w:pPr/>
      <w:r>
        <w:rPr/>
        <w:t xml:space="preserve">- W przypadku Ekwadoru i Serbii Spółka planuje realizację pierwszych wolumenów sprzedażowych jeszcze w bieżącym roku – wskazuje Magdalena Sierocka.- W odniesieniu do Hiszpanii – przy założeniu pozytywnego przebiegu procesu rejestracyjnego i uzyskaniu certyfikatu rejestracyjnego do końca 2028 r. - sprzedaż zostanie uruchomiona niezwłocznie – dodaje Katarzyna Konarska, Dyrektor Rejestracji Synthaverse. </w:t>
      </w:r>
    </w:p>
    <w:p/>
    <w:p>
      <w:pPr/>
      <w:r>
        <w:rPr/>
        <w:t xml:space="preserve">- Pierwsza połowa roku upłynęła pod znakiem intensywnej działalności operacyjnej i realizacji przyjętej strategii nastawionej m.in. na rozwój sprzedaży zagranicznej. Do kluczowych wydarzeń ostatnich miesięcy Zarząd zalicza kontynuację ekspansji eksportowej, optymalizację harmonogramu sprzedaży, a także aktywność na rynku krajowym. Chcemy nadal prowadzić działania zmierzające do komercjalizacji produktów na kolejnych rynkach, widząc ich potencjał sprzedażowy – podsumowuje Artur Chodkowski, Prezes Zarządu Synthaverse.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2026-11-08T17:10:17+01:00</dcterms:created>
  <dcterms:modified xsi:type="dcterms:W3CDTF">2026-11-08T17:10:17+01:00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