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7"/>
          <w:szCs w:val="27"/>
          <w:b w:val="1"/>
          <w:bCs w:val="1"/>
        </w:rPr>
        <w:t xml:space="preserve">Synthaverse podpisuje umowę na rynek hiszpański i zapowiada dalszą ekspansję w Europie Środkowej i Ameryce Południowej</w:t>
      </w:r>
    </w:p>
    <w:p/>
    <w:p>
      <w:pPr/>
      <w:r>
        <w:rPr>
          <w:sz w:val="22.5"/>
          <w:szCs w:val="22.5"/>
          <w:b w:val="1"/>
          <w:bCs w:val="1"/>
        </w:rPr>
        <w:t xml:space="preserve">Polski producent leków będzie współpracował z podmiotem należącym do indyjskiej grupy farmaceutycznej MSN Laboratories, w zakresie rejestracji, dostawy i dystrybucji produktu leczniczego Onko BCG 100 do Hiszpanii. Planowana wartość zamówień w pierwszych 5 latach obowiązywania umowy wyniesie blisko 17,9 mln euro, co jest jednym z najwyższych zamówień w historii firmy. Spółka kontynuuje ekspansję zagraniczną, zgodnie z przyjętą strategią, a wśród najbliższych planowanych rejestracji produktowych wskazuje kraje Ameryki Południowej oraz Europę Środkową.</w:t>
      </w:r>
    </w:p>
    <w:p/>
    <w:p>
      <w:pPr/>
      <w:r>
        <w:rPr/>
        <w:t xml:space="preserve">- Hiszpania jest obecnie jednym z priorytetowych rynków europejskich dla Onko BCG. Proces rejestracyjny prowadzony jest przed jednym z najbardziej wymagających organów regulacyjnych w Unii Europejskiej, co stanowi potwierdzenie wysokiej jakości i bezpieczeństwa produktu. Posiadamy podpisane umowy dystrybucyjne w kluczowych krajach Europy Zachodniej, co tworzy solidne fundamenty dla dalszej ekspansji eksportowej – komentuje Magdalena Sierocka, Dyrektor Exportu Synthaverse.</w:t>
      </w:r>
    </w:p>
    <w:p/>
    <w:p>
      <w:pPr/>
      <w:r>
        <w:rPr/>
        <w:t xml:space="preserve">- W przypadku Ekwadoru i Serbii Spółka planuje realizację pierwszych wolumenów sprzedażowych jeszcze w bieżącym roku – wskazuje Magdalena Sierocka.- W odniesieniu do Hiszpanii – przy założeniu pozytywnego przebiegu procesu rejestracyjnego i uzyskaniu certyfikatu rejestracyjnego do końca 2028 r. - sprzedaż zostanie uruchomiona niezwłocznie – dodaje Katarzyna Konarska, Dyrektor Rejestracji Synthaverse. </w:t>
      </w:r>
    </w:p>
    <w:p/>
    <w:p>
      <w:pPr/>
      <w:r>
        <w:rPr/>
        <w:t xml:space="preserve">- Pierwsza połowa roku upłynęła pod znakiem intensywnej działalności operacyjnej i realizacji przyjętej strategii nastawionej m.in. na rozwój sprzedaży zagranicznej. Do kluczowych wydarzeń ostatnich miesięcy Zarząd zalicza kontynuację ekspansji eksportowej, optymalizację harmonogramu sprzedaży, a także aktywność na rynku krajowym. Chcemy nadal prowadzić działania zmierzające do komercjalizacji produktów na kolejnych rynkach, widząc ich potencjał sprzedażowy – podsumowuje Artur Chodkowski, Prezes Zarządu Synthaverse.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2026-07-28T00:44:30+02:00</dcterms:created>
  <dcterms:modified xsi:type="dcterms:W3CDTF">2026-07-28T00:44:30+02:00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