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Rekordowe odzyski i rosnące dochody GK BEST</w:t>
      </w:r>
    </w:p>
    <w:p/>
    <w:p>
      <w:pPr/>
      <w:r>
        <w:rPr>
          <w:sz w:val="22.5"/>
          <w:szCs w:val="22.5"/>
          <w:b w:val="1"/>
          <w:bCs w:val="1"/>
        </w:rPr>
        <w:t xml:space="preserve">Giełdowa grupa finansowa zamknęła I półrocze 2024 roku z 9% wzrostem gotówkowej EBITDA, do ponad 128 mln zł. Spłaty z wierzytelności należne GK BEST wzrosły w minionym półroczu o 17%, do blisko 236 mln zł. Motorami wzrostu przychodów i dochodów Grupy są dynamicznie rosnące inwestycje w zakup portfeli wierzytelności oraz systematycznie zwiększająca się efektywność GK BEST.</w:t>
      </w:r>
    </w:p>
    <w:p/>
    <w:p>
      <w:pPr/>
      <w:r>
        <w:rPr/>
        <w:t xml:space="preserve">Rośniemy dziś nie tylko dzięki stabilnemu, zdrowemu bilansowi, pozwalającemu na pozyskiwanie zdywersyfikowanego finansowania, ale również dzięki konsekwentnemu doskonaleniu kluczowych procesów w firmie. Podnoszenie efektywności Grupy BEST wciąż trwa – komentuje Krzysztof Borusowski, Prezes Zarządu BEST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2026-11-08T17:20:42+01:00</dcterms:created>
  <dcterms:modified xsi:type="dcterms:W3CDTF">2026-11-08T17:20:42+01:00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