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widzi potencjał w sektorze defence i ożywienie w offshore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specjalistycznych kontenerów i platform transportowych z optymizmem patrzy w przyszłość. Zremb Chojnice widzi duży potencjał do rozbudowy portfela zamówień w obszarze obronności i jednocześnie dostrzega spore ożywienie w segmencie offshore. Ważna dla dalszego rozwoju Spółki będzie realizacja dużego kontraktu dla NATO.</w:t>
      </w:r>
    </w:p>
    <w:p/>
    <w:p>
      <w:pPr/>
      <w:r>
        <w:rPr/>
        <w:t xml:space="preserve">- Miniony rok był okresem dalszego, konsekwentnie realizowanego rozwoju. Jednak trudne otoczenie związane z wysokim kosztem pieniądza, drogą energią i utrzymującą się presją na wzrost wynagrodzeń miało wpływ na nasze marże. Pod koniec 2025 roku prowadziliśmy prace na wieloma prototypami, z których część już w tym roku wejdzie do seryjnej produkcji. To pozwala z optymizmem patrzeć w przyszłość. Niezwykle ważna dla przyszłych wyników powinna być realizacja, wspólnie z Polskim Holdingiem Rozwoju, kontraktu dla wojsk NATO. Dotyczy on budowy elementów platform transportowych o maksymalnej wartości 59 mln zł brutto. W ramach realizacji tego zamówienia mamy już za sobą prace projektowe i uzgodnienia finalne w tym zakresie z zamawiającym, a obecnie przygotowujemy się do wysłania na szerokie badania prototypów, które przejdą wymagane testy. Z uwagi na wymogi co do warunków pracy, szerokiego zakresu temperatur w jakich mają pracować i innych wymogów jakie mają spełnić platformy, będą to testy dość skomplikowane. W drugiej połowie br. powinniśmy ruszyć z seryjną produkcją, co byłoby zgodne z przyjętym wcześniej harmonogramem. Przy realizacji tak dużego kontraktu zamierzamy wspomóc się stanowiskami zrobotyzowanymi. Decyzja o inwestycji w automatyzację zakładu produkcyjnego została poprzedzona wnikliwymi analizami i w kolejnych latach powinna istotnie wpływać na poprawę efektywności naszej produkcji – komentuje Krzysztof Kosiorek-Sobolewski, prezes Zrembu-Chojnice.</w:t>
      </w:r>
    </w:p>
    <w:p/>
    <w:p>
      <w:pPr/>
      <w:r>
        <w:rPr/>
        <w:t xml:space="preserve">- Obecny nasz backlog jest na satysfakcjonującym poziomie. Zdecydowaną większość zamówień stanowią kontrakty z zakresu obronności. Widzimy duży potencjał do pozyskiwania kolejnych zamówień w tym obszarze. Jedocześnie obserwujemy też ożywienie w branży offshore. Jest to efekt znaczącego wzrostu cen ropy naftowej w związku z konfliktem na Bliskim Wschodzie – dodaje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2026-11-08T17:10:22+01:00</dcterms:created>
  <dcterms:modified xsi:type="dcterms:W3CDTF">2026-11-08T17:10:22+01:00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