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 oczekuje dalszego wzrostu backlogu w segmencie obronnym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specjalistycznych kontenerów i platform transportowych wypracował w pierwszym półroczu br. blisko 21 mln zł przychodów i zanotował 3,2 mln zł na poziomie EBITDA. Zarząd widzi obiecujące perspektywy do dalszego rozwoju i budowy portfela zamówień, szczególnie w segmencie obronnym.</w:t>
      </w:r>
    </w:p>
    <w:p/>
    <w:p>
      <w:pPr/>
      <w:r>
        <w:rPr/>
        <w:t xml:space="preserve">- Systematycznie rośniemy od lat, czego potwierdzeniem jest wzrost sprzedaży w pierwszym półroczu br. o 21,5 proc. w porównaniu do średniej z trzech wcześniejszych lat. Odnotowaliśmy też skokowy wzrost zysku netto. Również w drugim półroczu chcielibyśmy  utrzymać dynamikę z ostatnich lat. Rośnie też nasz portfel zamówień. Patrząc na rynek, szczególnie w obszarze zbrojeniowym, oczekujemy dalszego wzrostu backlogu w kolejnych okresach. Widzimy nasilający się trend ze strony armii NATO, kładących coraz większy nacisk na mobilność, logistykę i szybkość reagowania, co zapewnia im wyższą sprawność i efektywność działania. W rezultacie coraz większą rolę odgrywają specjalistyczne kontenery czy platformy transportowe, które produkujemy. Jednak specyfika sprzętu mobilnego powoduje, że musi on być indywidualnie skrojony na potrzeby konkretnych armii. Właśnie uczestniczymy w konsultacjach technicznych dotyczących takich dostaw na rynek skandynawski. Widzimy podobne potrzeby zakupowe, poprzedzone konsultacjami, także w innych krajach – komentuje Krzysztof Kosiorek-Sobolewski, prezes Zrembu-Chojnice.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2026-11-08T17:20:44+01:00</dcterms:created>
  <dcterms:modified xsi:type="dcterms:W3CDTF">2026-11-08T17:20:44+01:00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