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40 samochodów na 40-lecie Drutex – wystartował pierwszy konkurs</w:t>
      </w:r>
    </w:p>
    <w:p/>
    <w:p>
      <w:pPr/>
      <w:r>
        <w:rPr>
          <w:sz w:val="22.5"/>
          <w:szCs w:val="22.5"/>
          <w:b w:val="1"/>
          <w:bCs w:val="1"/>
        </w:rPr>
        <w:t xml:space="preserve">Drutex, czołowy polski producent stolarki otworowej o globalnym zasięgu, świętując swoje 40-lecie rusza z konkursem skierowanym do własnych dealerów. Specjalny ranking, prowadzony w związku z projektem Drutex League, wyłoni najlepszych sprzedawców, a na zwycięzców czekają cenne nagrody – aż 36 nowych aut z puli 40 jakie w całym 2026 roku rozda firma z Bytowa w ramach kilku akcji promocyjnych.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2026-11-08T17:20:54+01:00</dcterms:created>
  <dcterms:modified xsi:type="dcterms:W3CDTF">2026-11-08T17:20:54+01:00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