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Synthaverse sprzeda Onko BCG do Ameryki Południowej za blisko 169 mln zł</w:t>
      </w:r>
    </w:p>
    <w:p/>
    <w:p>
      <w:pPr/>
      <w:r>
        <w:rPr>
          <w:sz w:val="22.5"/>
          <w:szCs w:val="22.5"/>
          <w:b w:val="1"/>
          <w:bCs w:val="1"/>
        </w:rPr>
        <w:t xml:space="preserve">Biotechnologiczna spółka z Lublina zawarła dwie umowy na rejestrację, dostawę i dystrybucję produktu leczniczego Onko BCG 100 do siedmiu krajów: Brazylii, Argentyny, Kolumbii, Peru, Ekwadoru, Chile i Paragwaju. Synthaverse dostarczy łącznie produkt leczniczy za 168,9 mln zł, co jest najwyższym zamówieniem w historii firmy.</w:t>
      </w:r>
    </w:p>
    <w:p/>
    <w:p>
      <w:pPr/>
      <w:r>
        <w:rPr/>
        <w:t xml:space="preserve">- Nie zatrzymujemy się i podpisujemy kolejne, duże umowy na sprzedaż Onko BCG 100. Tym razem jest to rynek Ameryki Południowej, na którym naszym partnerem będzie Blau Farmacéutica, wiodąca brazylijska firma farmaceutyczna, koncentrującą się na rynku instytucjonalnym i szpitalnym, jednocześnie będąca pionierem w dziedzinie biotechnologii. Do tego jest spółką publiczną notowaną na Brazylijskiej Giełdzie Papierów Wartościowych.Umowy z Blau Farmacéutica są największe pod względem wartości w historii Synthaverse. Są także ważnym elementem dywersyfikacji rynków sprzedażowych, co cieszy w kontekście planowanego wzrostu produkcji związanego z uruchomieniem nowego zakładu Onko BCG – komentuje Mieczysław Starkowicz, prezes zarządu Synthaverse SA.</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2026-11-08T17:20:22+01:00</dcterms:created>
  <dcterms:modified xsi:type="dcterms:W3CDTF">2026-11-08T17:20:22+01:00</dcterms:modified>
</cp:coreProperties>
</file>

<file path=docProps/custom.xml><?xml version="1.0" encoding="utf-8"?>
<Properties xmlns="http://schemas.openxmlformats.org/officeDocument/2006/custom-properties" xmlns:vt="http://schemas.openxmlformats.org/officeDocument/2006/docPropsVTypes"/>
</file>